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40" w:lineRule="auto"/>
        <w:ind w:firstLine="0" w:firstLineChars="0"/>
        <w:jc w:val="both"/>
        <w:rPr>
          <w:rFonts w:hint="eastAsia" w:ascii="微软雅黑" w:hAnsi="微软雅黑" w:eastAsia="微软雅黑" w:cs="微软雅黑"/>
          <w:b/>
          <w:snapToGrid/>
          <w:sz w:val="44"/>
          <w:szCs w:val="4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5234940</wp:posOffset>
                </wp:positionH>
                <wp:positionV relativeFrom="paragraph">
                  <wp:posOffset>-539750</wp:posOffset>
                </wp:positionV>
                <wp:extent cx="974090" cy="465455"/>
                <wp:effectExtent l="0" t="0" r="1270" b="698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88845" y="8078470"/>
                          <a:ext cx="974090" cy="465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adjustRightInd/>
                              <w:snapToGrid/>
                              <w:spacing w:line="240" w:lineRule="auto"/>
                              <w:ind w:firstLine="0" w:firstLineChars="0"/>
                              <w:jc w:val="center"/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color w:val="auto"/>
                                <w:sz w:val="21"/>
                                <w:szCs w:val="21"/>
                              </w:rPr>
                            </w:pPr>
                          </w:p>
                          <w:p>
                            <w:pPr>
                              <w:adjustRightInd/>
                              <w:snapToGrid/>
                              <w:spacing w:line="240" w:lineRule="auto"/>
                              <w:ind w:firstLine="0" w:firstLineChars="0"/>
                              <w:jc w:val="center"/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color w:val="auto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color w:val="auto"/>
                                <w:sz w:val="21"/>
                                <w:szCs w:val="21"/>
                              </w:rPr>
                              <w:t>YMK-5T2+</w:t>
                            </w:r>
                            <w:r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color w:val="auto"/>
                                <w:sz w:val="21"/>
                                <w:szCs w:val="21"/>
                                <w:lang w:val="en-US" w:eastAsia="zh-CN"/>
                              </w:rPr>
                              <w:t xml:space="preserve"> </w:t>
                            </w:r>
                          </w:p>
                          <w:p>
                            <w:pPr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2.2pt;margin-top:-42.5pt;height:36.65pt;width:76.7pt;z-index:251663360;mso-width-relative:page;mso-height-relative:page;" fillcolor="#FFFFFF [3201]" filled="t" stroked="f" coordsize="21600,21600" o:gfxdata="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FssrxjWAAAACwEAAA8AAAAAAAAAAQAgAAAAIgAAAGRy&#10;cy9kb3ducmV2LnhtbFBLAQIUABQAAAAIAIdO4kB/rqD4QAIAAE4EAAAOAAAAAAAAAAEAIAAAACUB&#10;AABkcnMvZTJvRG9jLnhtbFBLBQYAAAAABgAGAFkBAADX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/>
                        <w:snapToGrid/>
                        <w:spacing w:line="240" w:lineRule="auto"/>
                        <w:ind w:firstLine="0" w:firstLineChars="0"/>
                        <w:jc w:val="center"/>
                        <w:rPr>
                          <w:rFonts w:hint="eastAsia" w:ascii="等线" w:hAnsi="等线" w:eastAsia="等线" w:cs="等线"/>
                          <w:b/>
                          <w:snapToGrid/>
                          <w:color w:val="auto"/>
                          <w:sz w:val="21"/>
                          <w:szCs w:val="21"/>
                        </w:rPr>
                      </w:pPr>
                    </w:p>
                    <w:p>
                      <w:pPr>
                        <w:adjustRightInd/>
                        <w:snapToGrid/>
                        <w:spacing w:line="240" w:lineRule="auto"/>
                        <w:ind w:firstLine="0" w:firstLineChars="0"/>
                        <w:jc w:val="center"/>
                        <w:rPr>
                          <w:rFonts w:hint="eastAsia" w:ascii="等线" w:hAnsi="等线" w:eastAsia="等线" w:cs="等线"/>
                          <w:b/>
                          <w:snapToGrid/>
                          <w:color w:val="auto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等线" w:hAnsi="等线" w:eastAsia="等线" w:cs="等线"/>
                          <w:b/>
                          <w:snapToGrid/>
                          <w:color w:val="auto"/>
                          <w:sz w:val="21"/>
                          <w:szCs w:val="21"/>
                        </w:rPr>
                        <w:t>YMK-5T2+</w:t>
                      </w:r>
                      <w:r>
                        <w:rPr>
                          <w:rFonts w:hint="eastAsia" w:ascii="等线" w:hAnsi="等线" w:eastAsia="等线" w:cs="等线"/>
                          <w:b/>
                          <w:snapToGrid/>
                          <w:color w:val="auto"/>
                          <w:sz w:val="21"/>
                          <w:szCs w:val="21"/>
                          <w:lang w:val="en-US" w:eastAsia="zh-CN"/>
                        </w:rPr>
                        <w:t xml:space="preserve"> </w:t>
                      </w:r>
                    </w:p>
                    <w:p>
                      <w:pPr>
                        <w:rPr>
                          <w:color w:val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 w:ascii="微软雅黑" w:hAnsi="微软雅黑" w:eastAsia="微软雅黑" w:cs="微软雅黑"/>
          <w:b/>
          <w:snapToGrid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snapToGrid/>
          <w:sz w:val="36"/>
          <w:szCs w:val="36"/>
        </w:rPr>
        <w:t>YMK-5T2+</w:t>
      </w:r>
      <w:r>
        <w:rPr>
          <w:rFonts w:hint="eastAsia" w:ascii="微软雅黑" w:hAnsi="微软雅黑" w:eastAsia="微软雅黑" w:cs="微软雅黑"/>
          <w:b/>
          <w:snapToGrid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snapToGrid/>
          <w:sz w:val="36"/>
          <w:szCs w:val="36"/>
        </w:rPr>
        <w:t>NIGHTVISION</w:t>
      </w:r>
      <w:r>
        <w:rPr>
          <w:rFonts w:hint="eastAsia" w:ascii="微软雅黑" w:hAnsi="微软雅黑" w:eastAsia="微软雅黑" w:cs="微软雅黑"/>
          <w:b/>
          <w:snapToGrid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snapToGrid/>
          <w:sz w:val="36"/>
          <w:szCs w:val="36"/>
        </w:rPr>
        <w:t>GEN2+</w:t>
      </w:r>
    </w:p>
    <w:p>
      <w:pPr>
        <w:adjustRightInd/>
        <w:snapToGrid/>
        <w:spacing w:line="240" w:lineRule="auto"/>
        <w:ind w:firstLine="0" w:firstLineChars="0"/>
        <w:rPr>
          <w:rFonts w:ascii="宋体" w:hAnsi="宋体" w:cs="宋体"/>
          <w:b/>
          <w:snapToGrid/>
          <w:sz w:val="40"/>
          <w:szCs w:val="36"/>
        </w:rPr>
      </w:pPr>
    </w:p>
    <w:p>
      <w:pPr>
        <w:adjustRightInd/>
        <w:snapToGrid/>
        <w:spacing w:line="240" w:lineRule="auto"/>
        <w:ind w:firstLine="0" w:firstLineChars="0"/>
        <w:rPr>
          <w:rFonts w:hint="eastAsia" w:ascii="宋体" w:hAnsi="宋体" w:eastAsia="宋体" w:cs="宋体"/>
          <w:b/>
          <w:snapToGrid/>
          <w:sz w:val="40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napToGrid/>
          <w:sz w:val="18"/>
          <w:szCs w:val="18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-680720</wp:posOffset>
            </wp:positionH>
            <wp:positionV relativeFrom="paragraph">
              <wp:posOffset>244475</wp:posOffset>
            </wp:positionV>
            <wp:extent cx="7550785" cy="3589020"/>
            <wp:effectExtent l="0" t="0" r="8255" b="7620"/>
            <wp:wrapNone/>
            <wp:docPr id="20" name="图片 20" descr="C:\Users\Administrator\Desktop\图片1.pn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Administrator\Desktop\图片1.png图片1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0785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djustRightInd/>
        <w:snapToGrid/>
        <w:spacing w:line="240" w:lineRule="auto"/>
        <w:ind w:firstLine="0" w:firstLineChars="0"/>
        <w:rPr>
          <w:rFonts w:hint="eastAsia" w:ascii="宋体" w:hAnsi="宋体" w:eastAsia="宋体" w:cs="宋体"/>
          <w:b/>
          <w:snapToGrid/>
          <w:sz w:val="40"/>
          <w:szCs w:val="36"/>
          <w:lang w:eastAsia="zh-CN"/>
        </w:rPr>
      </w:pPr>
    </w:p>
    <w:p>
      <w:pPr>
        <w:adjustRightInd/>
        <w:snapToGrid/>
        <w:spacing w:line="240" w:lineRule="auto"/>
        <w:ind w:firstLine="0" w:firstLineChars="0"/>
        <w:rPr>
          <w:rFonts w:hint="eastAsia" w:ascii="宋体" w:hAnsi="宋体" w:eastAsia="宋体" w:cs="宋体"/>
          <w:b/>
          <w:snapToGrid/>
          <w:sz w:val="40"/>
          <w:szCs w:val="36"/>
          <w:lang w:eastAsia="zh-CN"/>
        </w:rPr>
      </w:pPr>
    </w:p>
    <w:p>
      <w:pPr>
        <w:adjustRightInd/>
        <w:snapToGrid/>
        <w:spacing w:line="240" w:lineRule="auto"/>
        <w:ind w:firstLine="0" w:firstLineChars="0"/>
        <w:rPr>
          <w:rFonts w:hint="eastAsia" w:ascii="宋体" w:hAnsi="宋体" w:eastAsia="宋体" w:cs="宋体"/>
          <w:b/>
          <w:snapToGrid/>
          <w:sz w:val="40"/>
          <w:szCs w:val="36"/>
          <w:lang w:eastAsia="zh-CN"/>
        </w:rPr>
      </w:pPr>
    </w:p>
    <w:p>
      <w:pPr>
        <w:adjustRightInd/>
        <w:snapToGrid/>
        <w:spacing w:line="240" w:lineRule="auto"/>
        <w:ind w:firstLine="0" w:firstLineChars="0"/>
        <w:rPr>
          <w:rFonts w:hint="eastAsia" w:ascii="宋体" w:hAnsi="宋体" w:eastAsia="宋体" w:cs="宋体"/>
          <w:b/>
          <w:snapToGrid/>
          <w:sz w:val="40"/>
          <w:szCs w:val="36"/>
          <w:lang w:eastAsia="zh-CN"/>
        </w:rPr>
      </w:pPr>
    </w:p>
    <w:p>
      <w:pPr>
        <w:adjustRightInd/>
        <w:snapToGrid/>
        <w:spacing w:line="240" w:lineRule="auto"/>
        <w:ind w:firstLine="0" w:firstLineChars="0"/>
        <w:rPr>
          <w:rFonts w:hint="eastAsia" w:ascii="宋体" w:hAnsi="宋体" w:eastAsia="宋体" w:cs="宋体"/>
          <w:b/>
          <w:snapToGrid/>
          <w:sz w:val="40"/>
          <w:szCs w:val="36"/>
          <w:lang w:eastAsia="zh-CN"/>
        </w:rPr>
      </w:pPr>
    </w:p>
    <w:p>
      <w:pPr>
        <w:adjustRightInd/>
        <w:snapToGrid/>
        <w:spacing w:line="240" w:lineRule="auto"/>
        <w:ind w:firstLine="0" w:firstLineChars="0"/>
        <w:rPr>
          <w:rFonts w:hint="eastAsia" w:ascii="宋体" w:hAnsi="宋体" w:eastAsia="宋体" w:cs="宋体"/>
          <w:b/>
          <w:snapToGrid/>
          <w:sz w:val="40"/>
          <w:szCs w:val="36"/>
          <w:lang w:eastAsia="zh-CN"/>
        </w:rPr>
      </w:pPr>
    </w:p>
    <w:p>
      <w:pPr>
        <w:adjustRightInd/>
        <w:snapToGrid/>
        <w:spacing w:line="240" w:lineRule="auto"/>
        <w:ind w:firstLine="0" w:firstLineChars="0"/>
        <w:rPr>
          <w:rFonts w:hint="eastAsia" w:ascii="宋体" w:hAnsi="宋体" w:eastAsia="宋体" w:cs="宋体"/>
          <w:b/>
          <w:snapToGrid/>
          <w:sz w:val="40"/>
          <w:szCs w:val="36"/>
          <w:lang w:eastAsia="zh-CN"/>
        </w:rPr>
      </w:pPr>
    </w:p>
    <w:p>
      <w:pPr>
        <w:adjustRightInd/>
        <w:snapToGrid/>
        <w:spacing w:line="240" w:lineRule="auto"/>
        <w:ind w:firstLine="0" w:firstLineChars="0"/>
        <w:rPr>
          <w:rFonts w:hint="eastAsia" w:ascii="宋体" w:hAnsi="宋体" w:eastAsia="宋体" w:cs="宋体"/>
          <w:b/>
          <w:snapToGrid/>
          <w:sz w:val="40"/>
          <w:szCs w:val="36"/>
          <w:lang w:eastAsia="zh-CN"/>
        </w:rPr>
      </w:pPr>
    </w:p>
    <w:p>
      <w:pPr>
        <w:adjustRightInd/>
        <w:snapToGrid/>
        <w:spacing w:line="240" w:lineRule="auto"/>
        <w:ind w:firstLine="0" w:firstLineChars="0"/>
        <w:rPr>
          <w:rFonts w:hint="eastAsia" w:ascii="宋体" w:hAnsi="宋体" w:eastAsia="宋体" w:cs="宋体"/>
          <w:b/>
          <w:snapToGrid/>
          <w:sz w:val="40"/>
          <w:szCs w:val="36"/>
          <w:lang w:eastAsia="zh-CN"/>
        </w:rPr>
      </w:pPr>
    </w:p>
    <w:p>
      <w:pPr>
        <w:adjustRightInd/>
        <w:snapToGrid/>
        <w:spacing w:line="240" w:lineRule="auto"/>
        <w:jc w:val="center"/>
        <w:rPr>
          <w:rFonts w:hint="eastAsia" w:ascii="微软雅黑" w:hAnsi="微软雅黑" w:eastAsia="微软雅黑" w:cs="微软雅黑"/>
          <w:b/>
          <w:snapToGrid/>
          <w:sz w:val="36"/>
          <w:szCs w:val="36"/>
        </w:rPr>
      </w:pPr>
    </w:p>
    <w:p>
      <w:pPr>
        <w:adjustRightInd/>
        <w:snapToGrid/>
        <w:spacing w:line="240" w:lineRule="auto"/>
        <w:ind w:left="0" w:leftChars="0" w:firstLine="0" w:firstLineChars="0"/>
        <w:jc w:val="center"/>
        <w:rPr>
          <w:rFonts w:hint="eastAsia" w:ascii="微软雅黑" w:hAnsi="微软雅黑" w:eastAsia="微软雅黑" w:cs="微软雅黑"/>
          <w:b/>
          <w:snapToGrid/>
          <w:color w:val="FF000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snapToGrid/>
          <w:color w:val="FF0000"/>
          <w:sz w:val="36"/>
          <w:szCs w:val="36"/>
        </w:rPr>
        <w:t>多</w:t>
      </w:r>
      <w:r>
        <w:rPr>
          <w:rFonts w:hint="eastAsia" w:ascii="微软雅黑" w:hAnsi="微软雅黑" w:eastAsia="微软雅黑" w:cs="微软雅黑"/>
          <w:b/>
          <w:snapToGrid/>
          <w:color w:val="FF0000"/>
          <w:sz w:val="36"/>
          <w:szCs w:val="36"/>
        </w:rPr>
        <w:t>功能微光夜视仪</w:t>
      </w:r>
    </w:p>
    <w:p>
      <w:pPr>
        <w:adjustRightInd/>
        <w:snapToGrid/>
        <w:spacing w:line="240" w:lineRule="auto"/>
        <w:ind w:firstLine="0" w:firstLineChars="0"/>
        <w:jc w:val="center"/>
        <w:rPr>
          <w:rFonts w:ascii="宋体" w:hAnsi="宋体" w:cs="宋体"/>
          <w:snapToGrid/>
          <w:sz w:val="21"/>
        </w:rPr>
      </w:pPr>
      <w:r>
        <w:rPr>
          <w:rFonts w:hint="eastAsia" w:ascii="微软雅黑" w:hAnsi="微软雅黑" w:eastAsia="微软雅黑" w:cs="微软雅黑"/>
          <w:b/>
          <w:snapToGrid/>
          <w:sz w:val="36"/>
          <w:szCs w:val="36"/>
        </w:rPr>
        <w:t>使用说明书</w:t>
      </w:r>
    </w:p>
    <w:p>
      <w:pPr>
        <w:bidi w:val="0"/>
        <w:rPr>
          <w:rFonts w:hint="eastAsia"/>
        </w:rPr>
      </w:pPr>
      <w:bookmarkStart w:id="0" w:name="_Toc34060684"/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ind w:left="0" w:leftChars="0" w:firstLine="0" w:firstLineChars="0"/>
        <w:rPr>
          <w:rFonts w:hint="eastAsia"/>
        </w:rPr>
      </w:pPr>
    </w:p>
    <w:p>
      <w:pPr>
        <w:adjustRightInd/>
        <w:snapToGrid/>
        <w:spacing w:before="624" w:beforeLines="200" w:line="240" w:lineRule="auto"/>
        <w:ind w:right="360" w:firstLine="0" w:firstLineChars="0"/>
        <w:jc w:val="right"/>
        <w:rPr>
          <w:rFonts w:hint="eastAsia"/>
          <w:b/>
          <w:bCs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napToGrid/>
          <w:sz w:val="18"/>
          <w:szCs w:val="18"/>
        </w:rPr>
        <w:t>20</w:t>
      </w:r>
      <w:r>
        <w:rPr>
          <w:rFonts w:hint="eastAsia" w:ascii="微软雅黑" w:hAnsi="微软雅黑" w:eastAsia="微软雅黑" w:cs="微软雅黑"/>
          <w:b/>
          <w:bCs/>
          <w:snapToGrid/>
          <w:sz w:val="18"/>
          <w:szCs w:val="18"/>
          <w:lang w:val="en-US" w:eastAsia="zh-CN"/>
        </w:rPr>
        <w:t>20YMK</w:t>
      </w:r>
      <w:r>
        <w:rPr>
          <w:rFonts w:hint="eastAsia" w:ascii="微软雅黑" w:hAnsi="微软雅黑" w:eastAsia="微软雅黑" w:cs="微软雅黑"/>
          <w:b/>
          <w:bCs/>
          <w:snapToGrid/>
          <w:sz w:val="18"/>
          <w:szCs w:val="18"/>
        </w:rPr>
        <w:t>-V3.0</w:t>
      </w:r>
    </w:p>
    <w:bookmarkEnd w:id="0"/>
    <w:p>
      <w:pPr>
        <w:widowControl/>
        <w:numPr>
          <w:ilvl w:val="0"/>
          <w:numId w:val="0"/>
        </w:numPr>
        <w:adjustRightInd w:val="0"/>
        <w:snapToGrid w:val="0"/>
        <w:spacing w:before="160" w:line="360" w:lineRule="exact"/>
        <w:jc w:val="left"/>
        <w:rPr>
          <w:rFonts w:hint="eastAsia" w:ascii="宋体" w:hAnsi="宋体" w:cs="宋体"/>
          <w:color w:val="000000"/>
          <w:kern w:val="0"/>
          <w:szCs w:val="21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>
                <wp:simplePos x="0" y="0"/>
                <wp:positionH relativeFrom="column">
                  <wp:posOffset>3639185</wp:posOffset>
                </wp:positionH>
                <wp:positionV relativeFrom="paragraph">
                  <wp:posOffset>-494665</wp:posOffset>
                </wp:positionV>
                <wp:extent cx="2573655" cy="465455"/>
                <wp:effectExtent l="0" t="0" r="1905" b="698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3655" cy="465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adjustRightInd/>
                              <w:snapToGrid/>
                              <w:spacing w:line="240" w:lineRule="auto"/>
                              <w:ind w:firstLine="0" w:firstLineChars="0"/>
                              <w:jc w:val="center"/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color w:val="auto"/>
                                <w:sz w:val="21"/>
                                <w:szCs w:val="21"/>
                              </w:rPr>
                            </w:pPr>
                          </w:p>
                          <w:p>
                            <w:pPr>
                              <w:pStyle w:val="14"/>
                              <w:rPr>
                                <w:rFonts w:hint="eastAsia" w:ascii="等线" w:hAnsi="等线" w:eastAsia="等线" w:cs="等线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sz w:val="21"/>
                                <w:szCs w:val="21"/>
                              </w:rPr>
                              <w:t>YMK-5T2+</w:t>
                            </w:r>
                            <w:r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sz w:val="21"/>
                                <w:szCs w:val="21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sz w:val="21"/>
                                <w:szCs w:val="21"/>
                              </w:rPr>
                              <w:t>NIGHTVISION</w:t>
                            </w:r>
                            <w:r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sz w:val="21"/>
                                <w:szCs w:val="21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sz w:val="21"/>
                                <w:szCs w:val="21"/>
                              </w:rPr>
                              <w:t>GEN2+</w:t>
                            </w:r>
                          </w:p>
                          <w:p>
                            <w:pPr>
                              <w:adjustRightInd/>
                              <w:snapToGrid/>
                              <w:spacing w:line="240" w:lineRule="auto"/>
                              <w:ind w:firstLine="0" w:firstLineChars="0"/>
                              <w:jc w:val="center"/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color w:val="auto"/>
                                <w:sz w:val="21"/>
                                <w:szCs w:val="21"/>
                              </w:rPr>
                            </w:pPr>
                          </w:p>
                          <w:p>
                            <w:pPr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6.55pt;margin-top:-38.95pt;height:36.65pt;width:202.65pt;z-index:251950080;mso-width-relative:page;mso-height-relative:page;" fillcolor="#FFFFFF [3201]" filled="t" stroked="f" coordsize="21600,21600" o:gfxdata="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gDxtStYAAAAKAQAADwAAAAAAAAABACAAAAAiAAAAZHJzL2Rvd25yZXYueG1s&#10;UEsBAhQAFAAAAAgAh07iQH1WsAMzAgAAQwQAAA4AAAAAAAAAAQAgAAAAJQEAAGRycy9lMm9Eb2Mu&#10;eG1sUEsFBgAAAAAGAAYAWQEAAMo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/>
                        <w:snapToGrid/>
                        <w:spacing w:line="240" w:lineRule="auto"/>
                        <w:ind w:firstLine="0" w:firstLineChars="0"/>
                        <w:jc w:val="center"/>
                        <w:rPr>
                          <w:rFonts w:hint="eastAsia" w:ascii="等线" w:hAnsi="等线" w:eastAsia="等线" w:cs="等线"/>
                          <w:b/>
                          <w:snapToGrid/>
                          <w:color w:val="auto"/>
                          <w:sz w:val="21"/>
                          <w:szCs w:val="21"/>
                        </w:rPr>
                      </w:pPr>
                    </w:p>
                    <w:p>
                      <w:pPr>
                        <w:pStyle w:val="14"/>
                        <w:rPr>
                          <w:rFonts w:hint="eastAsia" w:ascii="等线" w:hAnsi="等线" w:eastAsia="等线" w:cs="等线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等线" w:hAnsi="等线" w:eastAsia="等线" w:cs="等线"/>
                          <w:b/>
                          <w:snapToGrid/>
                          <w:sz w:val="21"/>
                          <w:szCs w:val="21"/>
                        </w:rPr>
                        <w:t>YMK-5T2+</w:t>
                      </w:r>
                      <w:r>
                        <w:rPr>
                          <w:rFonts w:hint="eastAsia" w:ascii="等线" w:hAnsi="等线" w:eastAsia="等线" w:cs="等线"/>
                          <w:b/>
                          <w:snapToGrid/>
                          <w:sz w:val="21"/>
                          <w:szCs w:val="21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等线" w:hAnsi="等线" w:eastAsia="等线" w:cs="等线"/>
                          <w:b/>
                          <w:snapToGrid/>
                          <w:sz w:val="21"/>
                          <w:szCs w:val="21"/>
                        </w:rPr>
                        <w:t>NIGHTVISION</w:t>
                      </w:r>
                      <w:r>
                        <w:rPr>
                          <w:rFonts w:hint="eastAsia" w:ascii="等线" w:hAnsi="等线" w:eastAsia="等线" w:cs="等线"/>
                          <w:b/>
                          <w:snapToGrid/>
                          <w:sz w:val="21"/>
                          <w:szCs w:val="21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等线" w:hAnsi="等线" w:eastAsia="等线" w:cs="等线"/>
                          <w:b/>
                          <w:snapToGrid/>
                          <w:sz w:val="21"/>
                          <w:szCs w:val="21"/>
                        </w:rPr>
                        <w:t>GEN2+</w:t>
                      </w:r>
                    </w:p>
                    <w:p>
                      <w:pPr>
                        <w:adjustRightInd/>
                        <w:snapToGrid/>
                        <w:spacing w:line="240" w:lineRule="auto"/>
                        <w:ind w:firstLine="0" w:firstLineChars="0"/>
                        <w:jc w:val="center"/>
                        <w:rPr>
                          <w:rFonts w:hint="eastAsia" w:ascii="等线" w:hAnsi="等线" w:eastAsia="等线" w:cs="等线"/>
                          <w:b/>
                          <w:snapToGrid/>
                          <w:color w:val="auto"/>
                          <w:sz w:val="21"/>
                          <w:szCs w:val="21"/>
                        </w:rPr>
                      </w:pPr>
                    </w:p>
                    <w:p>
                      <w:pPr>
                        <w:rPr>
                          <w:color w:val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3635375</wp:posOffset>
                </wp:positionH>
                <wp:positionV relativeFrom="paragraph">
                  <wp:posOffset>-539750</wp:posOffset>
                </wp:positionV>
                <wp:extent cx="2573655" cy="465455"/>
                <wp:effectExtent l="0" t="0" r="1905" b="698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3655" cy="465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adjustRightInd/>
                              <w:snapToGrid/>
                              <w:spacing w:line="240" w:lineRule="auto"/>
                              <w:ind w:firstLine="0" w:firstLineChars="0"/>
                              <w:jc w:val="center"/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color w:val="auto"/>
                                <w:sz w:val="21"/>
                                <w:szCs w:val="21"/>
                              </w:rPr>
                            </w:pPr>
                          </w:p>
                          <w:p>
                            <w:pPr>
                              <w:pStyle w:val="14"/>
                              <w:rPr>
                                <w:rFonts w:hint="eastAsia" w:ascii="等线" w:hAnsi="等线" w:eastAsia="等线" w:cs="等线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sz w:val="21"/>
                                <w:szCs w:val="21"/>
                              </w:rPr>
                              <w:t>YMK-5T2+</w:t>
                            </w:r>
                            <w:r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sz w:val="21"/>
                                <w:szCs w:val="21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sz w:val="21"/>
                                <w:szCs w:val="21"/>
                              </w:rPr>
                              <w:t>NIGHTVISION</w:t>
                            </w:r>
                            <w:r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sz w:val="21"/>
                                <w:szCs w:val="21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sz w:val="21"/>
                                <w:szCs w:val="21"/>
                              </w:rPr>
                              <w:t>GEN2+</w:t>
                            </w:r>
                          </w:p>
                          <w:p>
                            <w:pPr>
                              <w:adjustRightInd/>
                              <w:snapToGrid/>
                              <w:spacing w:line="240" w:lineRule="auto"/>
                              <w:ind w:firstLine="0" w:firstLineChars="0"/>
                              <w:jc w:val="center"/>
                              <w:rPr>
                                <w:rFonts w:hint="eastAsia" w:ascii="等线" w:hAnsi="等线" w:eastAsia="等线" w:cs="等线"/>
                                <w:b/>
                                <w:snapToGrid/>
                                <w:color w:val="auto"/>
                                <w:sz w:val="21"/>
                                <w:szCs w:val="21"/>
                              </w:rPr>
                            </w:pPr>
                          </w:p>
                          <w:p>
                            <w:pPr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6.25pt;margin-top:-42.5pt;height:36.65pt;width:202.65pt;z-index:251803648;mso-width-relative:page;mso-height-relative:page;" fillcolor="#FFFFFF [3201]" filled="t" stroked="f" coordsize="21600,21600" o:gfxdata="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+SE7ftYAAAALAQAADwAAAAAAAAABACAAAAAiAAAAZHJzL2Rvd25yZXYueG1s&#10;UEsBAhQAFAAAAAgAh07iQCgUezgzAgAAQwQAAA4AAAAAAAAAAQAgAAAAJQEAAGRycy9lMm9Eb2Mu&#10;eG1sUEsFBgAAAAAGAAYAWQEAAMo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/>
                        <w:snapToGrid/>
                        <w:spacing w:line="240" w:lineRule="auto"/>
                        <w:ind w:firstLine="0" w:firstLineChars="0"/>
                        <w:jc w:val="center"/>
                        <w:rPr>
                          <w:rFonts w:hint="eastAsia" w:ascii="等线" w:hAnsi="等线" w:eastAsia="等线" w:cs="等线"/>
                          <w:b/>
                          <w:snapToGrid/>
                          <w:color w:val="auto"/>
                          <w:sz w:val="21"/>
                          <w:szCs w:val="21"/>
                        </w:rPr>
                      </w:pPr>
                    </w:p>
                    <w:p>
                      <w:pPr>
                        <w:pStyle w:val="14"/>
                        <w:rPr>
                          <w:rFonts w:hint="eastAsia" w:ascii="等线" w:hAnsi="等线" w:eastAsia="等线" w:cs="等线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等线" w:hAnsi="等线" w:eastAsia="等线" w:cs="等线"/>
                          <w:b/>
                          <w:snapToGrid/>
                          <w:sz w:val="21"/>
                          <w:szCs w:val="21"/>
                        </w:rPr>
                        <w:t>YMK-5T2+</w:t>
                      </w:r>
                      <w:r>
                        <w:rPr>
                          <w:rFonts w:hint="eastAsia" w:ascii="等线" w:hAnsi="等线" w:eastAsia="等线" w:cs="等线"/>
                          <w:b/>
                          <w:snapToGrid/>
                          <w:sz w:val="21"/>
                          <w:szCs w:val="21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等线" w:hAnsi="等线" w:eastAsia="等线" w:cs="等线"/>
                          <w:b/>
                          <w:snapToGrid/>
                          <w:sz w:val="21"/>
                          <w:szCs w:val="21"/>
                        </w:rPr>
                        <w:t>NIGHTVISION</w:t>
                      </w:r>
                      <w:r>
                        <w:rPr>
                          <w:rFonts w:hint="eastAsia" w:ascii="等线" w:hAnsi="等线" w:eastAsia="等线" w:cs="等线"/>
                          <w:b/>
                          <w:snapToGrid/>
                          <w:sz w:val="21"/>
                          <w:szCs w:val="21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等线" w:hAnsi="等线" w:eastAsia="等线" w:cs="等线"/>
                          <w:b/>
                          <w:snapToGrid/>
                          <w:sz w:val="21"/>
                          <w:szCs w:val="21"/>
                        </w:rPr>
                        <w:t>GEN2+</w:t>
                      </w:r>
                    </w:p>
                    <w:p>
                      <w:pPr>
                        <w:adjustRightInd/>
                        <w:snapToGrid/>
                        <w:spacing w:line="240" w:lineRule="auto"/>
                        <w:ind w:firstLine="0" w:firstLineChars="0"/>
                        <w:jc w:val="center"/>
                        <w:rPr>
                          <w:rFonts w:hint="eastAsia" w:ascii="等线" w:hAnsi="等线" w:eastAsia="等线" w:cs="等线"/>
                          <w:b/>
                          <w:snapToGrid/>
                          <w:color w:val="auto"/>
                          <w:sz w:val="21"/>
                          <w:szCs w:val="21"/>
                        </w:rPr>
                      </w:pPr>
                    </w:p>
                    <w:p>
                      <w:pPr>
                        <w:rPr>
                          <w:color w:val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2"/>
        <w:bidi w:val="0"/>
      </w:pPr>
      <w:bookmarkStart w:id="1" w:name="_Toc29241"/>
      <w:r>
        <w:rPr>
          <w:rFonts w:hint="eastAsia"/>
        </w:rPr>
        <w:t>产品简介</w:t>
      </w:r>
      <w:bookmarkEnd w:id="1"/>
    </w:p>
    <w:p>
      <w:pPr>
        <w:ind w:firstLine="480"/>
      </w:pPr>
      <w:r>
        <w:rPr>
          <w:rFonts w:hint="eastAsia"/>
          <w:lang w:val="en-US" w:eastAsia="zh-CN"/>
        </w:rPr>
        <w:t>YMK</w:t>
      </w:r>
      <w:r>
        <w:rPr>
          <w:rFonts w:hint="eastAsia"/>
        </w:rPr>
        <w:t>头盔式多功能微光夜视仪采用了高性能像增强器，具有性能优良、体积小、重量轻、成像清晰、操作简单，通过更换物镜可改变放大倍率等特点。该产品可与数码相机、照相机、摄录机和摄像机连接，也可单独使用。该夜视仪内置红外辅助光源及自动防强光保护系统。该产品实用性强，可适用于夜间无照明环境下军事观察、边海防侦察、公安监视、取证、海关缉私等，是公安部门、武警部队、特警部队、及守护巡逻的理想设备。</w:t>
      </w:r>
    </w:p>
    <w:p>
      <w:pPr>
        <w:ind w:firstLine="480"/>
      </w:pPr>
      <w:r>
        <w:rPr>
          <w:rFonts w:hint="eastAsia"/>
        </w:rPr>
        <w:t>该夜视仪使用范围广，操作简单，可手持直接使用，又可搭配相机与摄像机使用，是居家日常和工作辅助的绝佳利器。</w:t>
      </w:r>
    </w:p>
    <w:p>
      <w:pPr>
        <w:widowControl/>
        <w:spacing w:before="160" w:line="360" w:lineRule="exact"/>
        <w:ind w:left="480" w:leftChars="200" w:firstLine="480"/>
        <w:jc w:val="left"/>
        <w:rPr>
          <w:rFonts w:ascii="宋体" w:hAnsi="宋体" w:cs="宋体"/>
          <w:color w:val="000000"/>
          <w:kern w:val="0"/>
          <w:szCs w:val="21"/>
        </w:rPr>
      </w:pPr>
    </w:p>
    <w:p>
      <w:pPr>
        <w:ind w:firstLine="562"/>
        <w:jc w:val="center"/>
        <w:rPr>
          <w:rFonts w:ascii="宋体" w:hAnsi="宋体"/>
          <w:b/>
          <w:color w:val="FF0000"/>
          <w:sz w:val="28"/>
          <w:szCs w:val="28"/>
        </w:rPr>
      </w:pPr>
      <w:r>
        <w:rPr>
          <w:rFonts w:hint="eastAsia" w:ascii="宋体" w:hAnsi="宋体"/>
          <w:b/>
          <w:color w:val="FF0000"/>
          <w:sz w:val="28"/>
          <w:szCs w:val="28"/>
        </w:rPr>
        <w:drawing>
          <wp:inline distT="0" distB="0" distL="0" distR="0">
            <wp:extent cx="2173605" cy="1652905"/>
            <wp:effectExtent l="0" t="0" r="5715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3605" cy="165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ascii="宋体" w:hAnsi="宋体"/>
        </w:rPr>
      </w:pPr>
      <w:r>
        <w:rPr>
          <w:rFonts w:hint="eastAsia" w:ascii="宋体" w:hAnsi="宋体"/>
        </w:rPr>
        <w:t>图1手持使用</w:t>
      </w:r>
    </w:p>
    <w:p>
      <w:pPr>
        <w:ind w:firstLine="480"/>
        <w:rPr>
          <w:rFonts w:ascii="宋体" w:hAnsi="宋体"/>
        </w:rPr>
      </w:pPr>
    </w:p>
    <w:p>
      <w:pPr>
        <w:ind w:firstLine="240" w:firstLineChars="100"/>
        <w:rPr>
          <w:rFonts w:ascii="宋体" w:hAnsi="宋体"/>
        </w:rPr>
      </w:pPr>
      <w:r>
        <w:rPr>
          <w:rFonts w:hint="eastAsia" w:ascii="宋体" w:hAnsi="宋体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page">
              <wp:posOffset>4895850</wp:posOffset>
            </wp:positionH>
            <wp:positionV relativeFrom="page">
              <wp:posOffset>6875780</wp:posOffset>
            </wp:positionV>
            <wp:extent cx="1562100" cy="1158240"/>
            <wp:effectExtent l="0" t="0" r="7620" b="0"/>
            <wp:wrapNone/>
            <wp:docPr id="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</w:rPr>
        <w:drawing>
          <wp:anchor distT="0" distB="0" distL="114300" distR="114300" simplePos="0" relativeHeight="251741184" behindDoc="0" locked="0" layoutInCell="1" allowOverlap="0">
            <wp:simplePos x="0" y="0"/>
            <wp:positionH relativeFrom="column">
              <wp:posOffset>368300</wp:posOffset>
            </wp:positionH>
            <wp:positionV relativeFrom="paragraph">
              <wp:posOffset>267970</wp:posOffset>
            </wp:positionV>
            <wp:extent cx="2278380" cy="1043940"/>
            <wp:effectExtent l="0" t="0" r="7620" b="7620"/>
            <wp:wrapNone/>
            <wp:docPr id="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7838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240" w:firstLineChars="100"/>
        <w:rPr>
          <w:rFonts w:ascii="宋体" w:hAnsi="宋体"/>
        </w:rPr>
      </w:pPr>
    </w:p>
    <w:p>
      <w:pPr>
        <w:ind w:firstLine="240" w:firstLineChars="100"/>
        <w:rPr>
          <w:rFonts w:ascii="宋体" w:hAnsi="宋体"/>
        </w:rPr>
      </w:pPr>
    </w:p>
    <w:p>
      <w:pPr>
        <w:ind w:firstLine="240" w:firstLineChars="100"/>
        <w:rPr>
          <w:rFonts w:ascii="宋体" w:hAnsi="宋体"/>
        </w:rPr>
      </w:pPr>
    </w:p>
    <w:p>
      <w:pPr>
        <w:ind w:firstLine="240" w:firstLineChars="100"/>
        <w:rPr>
          <w:rFonts w:ascii="宋体" w:hAnsi="宋体"/>
        </w:rPr>
      </w:pPr>
    </w:p>
    <w:p>
      <w:pPr>
        <w:ind w:firstLine="1200" w:firstLineChars="500"/>
        <w:rPr>
          <w:rFonts w:ascii="宋体" w:hAnsi="宋体"/>
        </w:rPr>
      </w:pPr>
      <w:r>
        <w:rPr>
          <w:rFonts w:hint="eastAsia" w:ascii="宋体" w:hAnsi="宋体"/>
        </w:rPr>
        <w:t xml:space="preserve">图2与相机配合使用       </w:t>
      </w:r>
      <w:r>
        <w:rPr>
          <w:rFonts w:ascii="宋体" w:hAnsi="宋体"/>
        </w:rPr>
        <w:t xml:space="preserve">                     图</w:t>
      </w:r>
      <w:r>
        <w:rPr>
          <w:rFonts w:hint="eastAsia" w:ascii="宋体" w:hAnsi="宋体"/>
        </w:rPr>
        <w:t>3与摄像机配合使用</w:t>
      </w:r>
    </w:p>
    <w:p>
      <w:pPr>
        <w:ind w:firstLine="240" w:firstLineChars="100"/>
        <w:rPr>
          <w:rFonts w:ascii="宋体" w:hAnsi="宋体"/>
          <w:color w:val="FF0000"/>
        </w:rPr>
      </w:pPr>
    </w:p>
    <w:p/>
    <w:p>
      <w:pPr>
        <w:widowControl/>
        <w:numPr>
          <w:ilvl w:val="0"/>
          <w:numId w:val="0"/>
        </w:numPr>
        <w:adjustRightInd w:val="0"/>
        <w:snapToGrid w:val="0"/>
        <w:spacing w:before="160" w:line="360" w:lineRule="exact"/>
        <w:jc w:val="left"/>
        <w:rPr>
          <w:rFonts w:hint="eastAsia" w:ascii="宋体" w:hAnsi="宋体" w:cs="宋体"/>
          <w:color w:val="000000"/>
          <w:kern w:val="0"/>
          <w:szCs w:val="21"/>
        </w:rPr>
      </w:pPr>
    </w:p>
    <w:p>
      <w:pPr>
        <w:pStyle w:val="2"/>
        <w:bidi w:val="0"/>
      </w:pPr>
      <w:bookmarkStart w:id="2" w:name="_Toc10934"/>
      <w:r>
        <w:rPr>
          <w:rFonts w:hint="eastAsia"/>
        </w:rPr>
        <w:t>产品参数</w:t>
      </w:r>
      <w:bookmarkEnd w:id="2"/>
    </w:p>
    <w:p>
      <w:pPr>
        <w:pStyle w:val="3"/>
        <w:bidi w:val="0"/>
      </w:pPr>
      <w:bookmarkStart w:id="3" w:name="_Toc11444"/>
      <w:r>
        <w:rPr>
          <w:rFonts w:hint="eastAsia"/>
        </w:rPr>
        <w:t>技术数据表</w:t>
      </w:r>
      <w:bookmarkEnd w:id="3"/>
    </w:p>
    <w:tbl>
      <w:tblPr>
        <w:tblStyle w:val="17"/>
        <w:tblW w:w="8058" w:type="dxa"/>
        <w:tblInd w:w="9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767171" w:themeFill="background2" w:themeFillShade="80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5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767171" w:themeFill="background2" w:themeFillShade="80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功能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像管等级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三代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767171" w:themeFill="background2" w:themeFillShade="80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放大倍率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1x\4x\5x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观察距离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200~~1000米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视角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40/13/8度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物镜调焦范围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0.25~~∞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目镜调焦范围</w:t>
            </w:r>
          </w:p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（屈光度）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+5~~-5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电源电压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3.6伏(CR123A)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420" w:firstLineChars="200"/>
              <w:jc w:val="both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工作时间</w:t>
            </w:r>
          </w:p>
          <w:p>
            <w:pPr>
              <w:spacing w:line="240" w:lineRule="auto"/>
              <w:ind w:left="0" w:leftChars="0" w:firstLine="0" w:firstLineChars="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（关闭红外照明）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80小时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工作时间</w:t>
            </w:r>
          </w:p>
          <w:p>
            <w:pPr>
              <w:spacing w:line="240" w:lineRule="auto"/>
              <w:ind w:left="0" w:leftChars="0" w:firstLine="0" w:firstLineChars="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（开启红外照明）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40小时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767171" w:themeFill="background2" w:themeFillShade="80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重量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300/550/610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工作温度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-40℃~~~+40℃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767171" w:themeFill="background2" w:themeFillShade="80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25℃时的相对湿度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98%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外形尺寸（mm）1x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</w:t>
            </w:r>
            <w:r>
              <w:rPr>
                <w:rFonts w:hint="eastAsia" w:ascii="宋体" w:hAnsi="宋体"/>
                <w:sz w:val="21"/>
                <w:szCs w:val="21"/>
              </w:rPr>
              <w:t>22</w:t>
            </w:r>
            <w:r>
              <w:rPr>
                <w:rFonts w:ascii="宋体" w:hAnsi="宋体"/>
                <w:sz w:val="21"/>
                <w:szCs w:val="21"/>
              </w:rPr>
              <w:t>x</w:t>
            </w:r>
            <w:r>
              <w:rPr>
                <w:rFonts w:hint="eastAsia" w:ascii="宋体" w:hAnsi="宋体"/>
                <w:sz w:val="21"/>
                <w:szCs w:val="21"/>
              </w:rPr>
              <w:t>42</w:t>
            </w:r>
            <w:r>
              <w:rPr>
                <w:rFonts w:ascii="宋体" w:hAnsi="宋体"/>
                <w:sz w:val="21"/>
                <w:szCs w:val="21"/>
              </w:rPr>
              <w:t>x</w:t>
            </w:r>
            <w:r>
              <w:rPr>
                <w:rFonts w:hint="eastAsia" w:ascii="宋体" w:hAnsi="宋体"/>
                <w:sz w:val="21"/>
                <w:szCs w:val="21"/>
              </w:rPr>
              <w:t>6</w:t>
            </w:r>
            <w:r>
              <w:rPr>
                <w:rFonts w:ascii="宋体" w:hAnsi="宋体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外形尺寸(mm)4x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184X60X78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外形尺寸(mm)5x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165X84X90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767171" w:themeFill="background2" w:themeFillShade="80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阴极类型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18mmGaAs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阴极敏感度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≥1800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分辨率，lp/mm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63-72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增益fl/fcd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45000-55000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性噪比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21-25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767171" w:themeFill="background2" w:themeFillShade="80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灵敏值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≥1500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767171" w:themeFill="background2" w:themeFillShade="80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像管寿命（小时）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767171" w:themeFill="background2" w:themeFillShade="80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49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使用寿命（小时）</w:t>
            </w:r>
          </w:p>
        </w:tc>
        <w:tc>
          <w:tcPr>
            <w:tcW w:w="5559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15</w:t>
            </w:r>
          </w:p>
        </w:tc>
      </w:tr>
    </w:tbl>
    <w:p>
      <w:pPr>
        <w:widowControl/>
        <w:numPr>
          <w:ilvl w:val="0"/>
          <w:numId w:val="0"/>
        </w:numPr>
        <w:adjustRightInd w:val="0"/>
        <w:snapToGrid w:val="0"/>
        <w:spacing w:before="160" w:line="360" w:lineRule="exact"/>
        <w:jc w:val="left"/>
        <w:rPr>
          <w:rFonts w:hint="eastAsia" w:ascii="宋体" w:hAnsi="宋体" w:cs="宋体"/>
          <w:color w:val="000000"/>
          <w:kern w:val="0"/>
          <w:szCs w:val="21"/>
        </w:rPr>
      </w:pPr>
    </w:p>
    <w:p>
      <w:pPr>
        <w:pStyle w:val="3"/>
        <w:bidi w:val="0"/>
      </w:pPr>
      <w:bookmarkStart w:id="4" w:name="_Toc1737"/>
      <w:r>
        <w:rPr>
          <w:rFonts w:hint="eastAsia"/>
        </w:rPr>
        <w:t>像增强器说明</w:t>
      </w:r>
      <w:bookmarkEnd w:id="4"/>
    </w:p>
    <w:p>
      <w:pPr>
        <w:ind w:firstLine="480"/>
      </w:pPr>
      <w:r>
        <w:rPr>
          <w:rFonts w:hint="eastAsia"/>
        </w:rPr>
        <w:t>该夜视仪专用</w:t>
      </w:r>
      <w:r>
        <w:t>像增强器能够把亮度很低的光学图像变为足够亮度的像</w:t>
      </w:r>
      <w:r>
        <w:rPr>
          <w:rFonts w:hint="eastAsia"/>
        </w:rPr>
        <w:t>，其结构内部高真空，</w:t>
      </w:r>
      <w:r>
        <w:t>由安装在高真空管壳内的光电阴极</w:t>
      </w:r>
      <w:r>
        <w:rPr>
          <w:rFonts w:hint="eastAsia"/>
        </w:rPr>
        <w:t>、微通道板、C</w:t>
      </w:r>
      <w:r>
        <w:t>PU</w:t>
      </w:r>
      <w:r>
        <w:rPr>
          <w:rFonts w:hint="eastAsia"/>
        </w:rPr>
        <w:t>、像管外壁、光电阳极等</w:t>
      </w:r>
      <w:r>
        <w:t>组成。</w:t>
      </w:r>
    </w:p>
    <w:p>
      <w:pPr>
        <w:ind w:firstLine="480"/>
        <w:rPr>
          <w:rFonts w:ascii="宋体" w:hAnsi="宋体" w:cs="宋体"/>
          <w:color w:val="000000"/>
          <w:kern w:val="0"/>
          <w:szCs w:val="21"/>
        </w:rPr>
      </w:pPr>
    </w:p>
    <w:p>
      <w:pPr>
        <w:ind w:firstLine="480"/>
        <w:jc w:val="center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1304925" cy="1152525"/>
            <wp:effectExtent l="0" t="0" r="5715" b="5715"/>
            <wp:docPr id="2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ascii="宋体" w:hAnsi="宋体"/>
        </w:rPr>
      </w:pPr>
      <w:r>
        <w:rPr>
          <w:rFonts w:hint="eastAsia" w:ascii="宋体" w:hAnsi="宋体"/>
        </w:rPr>
        <w:t>图4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增强器实物图</w:t>
      </w:r>
    </w:p>
    <w:p>
      <w:pPr>
        <w:ind w:firstLine="480"/>
        <w:rPr>
          <w:rFonts w:ascii="宋体" w:hAnsi="宋体"/>
        </w:rPr>
      </w:pPr>
    </w:p>
    <w:p>
      <w:pPr>
        <w:ind w:firstLine="480"/>
        <w:rPr>
          <w:rFonts w:ascii="宋体" w:hAnsi="宋体"/>
        </w:rPr>
      </w:pPr>
    </w:p>
    <w:p>
      <w:pPr>
        <w:ind w:firstLine="480"/>
        <w:rPr>
          <w:rFonts w:ascii="宋体" w:hAnsi="宋体"/>
        </w:rPr>
      </w:pPr>
    </w:p>
    <w:p>
      <w:pPr>
        <w:ind w:firstLine="480"/>
        <w:jc w:val="center"/>
        <w:rPr>
          <w:rFonts w:ascii="宋体" w:hAnsi="宋体"/>
        </w:rPr>
      </w:pPr>
      <w:r>
        <w:rPr>
          <w:rFonts w:hint="eastAsia" w:ascii="宋体" w:hAnsi="宋体"/>
        </w:rPr>
        <w:drawing>
          <wp:inline distT="0" distB="0" distL="0" distR="0">
            <wp:extent cx="3200400" cy="1849755"/>
            <wp:effectExtent l="0" t="0" r="0" b="9525"/>
            <wp:docPr id="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ascii="宋体" w:hAnsi="宋体"/>
        </w:rPr>
      </w:pPr>
      <w:r>
        <w:rPr>
          <w:rFonts w:hint="eastAsia" w:ascii="宋体" w:hAnsi="宋体"/>
        </w:rPr>
        <w:t>图5 像增强器运作图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组成部分说明：</w:t>
      </w:r>
    </w:p>
    <w:tbl>
      <w:tblPr>
        <w:tblStyle w:val="18"/>
        <w:tblW w:w="67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4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8" w:type="dxa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4356" w:type="dxa"/>
          </w:tcPr>
          <w:p>
            <w:pPr>
              <w:pStyle w:val="29"/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光电阴极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8" w:type="dxa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4356" w:type="dxa"/>
          </w:tcPr>
          <w:p>
            <w:pPr>
              <w:pStyle w:val="29"/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微通道板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8" w:type="dxa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4356" w:type="dxa"/>
          </w:tcPr>
          <w:p>
            <w:pPr>
              <w:pStyle w:val="29"/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CPU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8" w:type="dxa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4356" w:type="dxa"/>
          </w:tcPr>
          <w:p>
            <w:pPr>
              <w:pStyle w:val="29"/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像管外壁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8" w:type="dxa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4356" w:type="dxa"/>
          </w:tcPr>
          <w:p>
            <w:pPr>
              <w:pStyle w:val="29"/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微通道板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388" w:type="dxa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4356" w:type="dxa"/>
          </w:tcPr>
          <w:p>
            <w:pPr>
              <w:pStyle w:val="29"/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光电阳极</w:t>
            </w:r>
          </w:p>
        </w:tc>
      </w:tr>
    </w:tbl>
    <w:p>
      <w:pPr>
        <w:rPr>
          <w:rFonts w:hint="eastAsia" w:ascii="宋体" w:hAnsi="宋体" w:cs="宋体"/>
          <w:color w:val="000000"/>
          <w:kern w:val="0"/>
          <w:szCs w:val="21"/>
        </w:rPr>
      </w:pPr>
    </w:p>
    <w:p>
      <w:pPr>
        <w:pStyle w:val="3"/>
        <w:bidi w:val="0"/>
      </w:pPr>
      <w:bookmarkStart w:id="5" w:name="_Toc28944"/>
      <w:r>
        <w:rPr>
          <w:rFonts w:hint="eastAsia"/>
          <w:lang w:val="en-US" w:eastAsia="zh-CN"/>
        </w:rPr>
        <w:t>设备清单</w:t>
      </w:r>
      <w:bookmarkEnd w:id="5"/>
    </w:p>
    <w:tbl>
      <w:tblPr>
        <w:tblStyle w:val="17"/>
        <w:tblW w:w="82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7B7B7B" w:themeFill="accent3" w:themeFillShade="B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3257"/>
        <w:gridCol w:w="3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7B7B7B" w:themeFill="accent3" w:themeFillShade="B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730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both"/>
              <w:rPr>
                <w:rFonts w:hint="default" w:ascii="宋体" w:hAnsi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lang w:val="en-US" w:eastAsia="zh-CN"/>
              </w:rPr>
              <w:t>序号</w:t>
            </w:r>
          </w:p>
        </w:tc>
        <w:tc>
          <w:tcPr>
            <w:tcW w:w="3257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/>
                <w:b/>
                <w:bCs/>
                <w:lang w:eastAsia="zh-CN"/>
              </w:rPr>
            </w:pPr>
            <w:r>
              <w:rPr>
                <w:rFonts w:hint="eastAsia" w:ascii="宋体" w:hAnsi="宋体"/>
                <w:b/>
                <w:bCs/>
                <w:lang w:val="en-US" w:eastAsia="zh-CN"/>
              </w:rPr>
              <w:t>名称</w:t>
            </w:r>
          </w:p>
        </w:tc>
        <w:tc>
          <w:tcPr>
            <w:tcW w:w="3295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730" w:type="dxa"/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</w:t>
            </w:r>
          </w:p>
        </w:tc>
        <w:tc>
          <w:tcPr>
            <w:tcW w:w="3257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夜视仪</w:t>
            </w:r>
          </w:p>
        </w:tc>
        <w:tc>
          <w:tcPr>
            <w:tcW w:w="3295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7B7B7B" w:themeFill="accent3" w:themeFillShade="B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730" w:type="dxa"/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</w:t>
            </w:r>
          </w:p>
        </w:tc>
        <w:tc>
          <w:tcPr>
            <w:tcW w:w="3257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头戴</w:t>
            </w:r>
          </w:p>
        </w:tc>
        <w:tc>
          <w:tcPr>
            <w:tcW w:w="3295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730" w:type="dxa"/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</w:t>
            </w:r>
          </w:p>
        </w:tc>
        <w:tc>
          <w:tcPr>
            <w:tcW w:w="3257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镜头</w:t>
            </w:r>
          </w:p>
        </w:tc>
        <w:tc>
          <w:tcPr>
            <w:tcW w:w="3295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7B7B7B" w:themeFill="accent3" w:themeFillShade="B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730" w:type="dxa"/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4</w:t>
            </w:r>
          </w:p>
        </w:tc>
        <w:tc>
          <w:tcPr>
            <w:tcW w:w="3257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拭镜布</w:t>
            </w:r>
          </w:p>
        </w:tc>
        <w:tc>
          <w:tcPr>
            <w:tcW w:w="3295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7B7B7B" w:themeFill="accent3" w:themeFillShade="B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730" w:type="dxa"/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5</w:t>
            </w:r>
          </w:p>
        </w:tc>
        <w:tc>
          <w:tcPr>
            <w:tcW w:w="3257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说明书</w:t>
            </w:r>
          </w:p>
        </w:tc>
        <w:tc>
          <w:tcPr>
            <w:tcW w:w="3295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730" w:type="dxa"/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6</w:t>
            </w:r>
          </w:p>
        </w:tc>
        <w:tc>
          <w:tcPr>
            <w:tcW w:w="3257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保修卡</w:t>
            </w:r>
          </w:p>
        </w:tc>
        <w:tc>
          <w:tcPr>
            <w:tcW w:w="3295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730" w:type="dxa"/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7</w:t>
            </w:r>
          </w:p>
        </w:tc>
        <w:tc>
          <w:tcPr>
            <w:tcW w:w="3257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防潮箱</w:t>
            </w:r>
          </w:p>
        </w:tc>
        <w:tc>
          <w:tcPr>
            <w:tcW w:w="3295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7B7B7B" w:themeFill="accent3" w:themeFillShade="B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730" w:type="dxa"/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8</w:t>
            </w:r>
          </w:p>
        </w:tc>
        <w:tc>
          <w:tcPr>
            <w:tcW w:w="3257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电池</w:t>
            </w:r>
          </w:p>
        </w:tc>
        <w:tc>
          <w:tcPr>
            <w:tcW w:w="3295" w:type="dxa"/>
            <w:shd w:val="clear" w:color="auto" w:fill="auto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2个</w:t>
            </w:r>
          </w:p>
        </w:tc>
      </w:tr>
    </w:tbl>
    <w:p>
      <w:pPr>
        <w:ind w:firstLine="480"/>
        <w:rPr>
          <w:rFonts w:ascii="宋体" w:hAnsi="宋体"/>
        </w:rPr>
      </w:pPr>
    </w:p>
    <w:p>
      <w:pPr>
        <w:widowControl/>
        <w:ind w:firstLine="480"/>
        <w:jc w:val="left"/>
        <w:rPr>
          <w:rFonts w:ascii="宋体" w:hAnsi="宋体"/>
        </w:rPr>
      </w:pPr>
      <w:r>
        <w:rPr>
          <w:rFonts w:ascii="宋体" w:hAnsi="宋体"/>
        </w:rPr>
        <w:br w:type="page"/>
      </w:r>
    </w:p>
    <w:p>
      <w:pPr>
        <w:pStyle w:val="3"/>
        <w:bidi w:val="0"/>
      </w:pPr>
      <w:bookmarkStart w:id="6" w:name="_Toc16028"/>
      <w:r>
        <w:rPr>
          <w:rFonts w:hint="eastAsia"/>
        </w:rPr>
        <w:t>物镜与目镜说明</w:t>
      </w:r>
      <w:bookmarkEnd w:id="6"/>
    </w:p>
    <w:p>
      <w:pPr>
        <w:ind w:firstLine="480"/>
      </w:pPr>
      <w:r>
        <w:rPr>
          <w:rFonts w:hint="eastAsia"/>
        </w:rPr>
        <w:t>物镜（可组装拆卸）</w:t>
      </w:r>
    </w:p>
    <w:p>
      <w:pPr>
        <w:ind w:firstLine="480"/>
      </w:pPr>
      <w:r>
        <w:rPr>
          <w:rFonts w:hint="eastAsia"/>
        </w:rPr>
        <w:t>在使用时，请先透过物镜观察成像情况，然后旋转调节物镜，物镜调节到最佳位置后，变焦无须再调节。</w:t>
      </w:r>
      <w:bookmarkStart w:id="7" w:name="_Hlk34227714"/>
    </w:p>
    <w:bookmarkEnd w:id="7"/>
    <w:p>
      <w:pPr>
        <w:ind w:firstLine="480"/>
        <w:rPr>
          <w:rFonts w:ascii="宋体" w:hAnsi="宋体" w:cs="宋体"/>
          <w:color w:val="000000"/>
          <w:kern w:val="0"/>
          <w:szCs w:val="21"/>
        </w:rPr>
      </w:pPr>
    </w:p>
    <w:tbl>
      <w:tblPr>
        <w:tblStyle w:val="17"/>
        <w:tblW w:w="75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5"/>
        <w:gridCol w:w="2515"/>
        <w:gridCol w:w="2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515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倍率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图片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25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1倍</w:t>
            </w:r>
          </w:p>
        </w:tc>
        <w:tc>
          <w:tcPr>
            <w:tcW w:w="251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drawing>
                <wp:inline distT="0" distB="0" distL="0" distR="0">
                  <wp:extent cx="426085" cy="550545"/>
                  <wp:effectExtent l="0" t="0" r="635" b="13335"/>
                  <wp:docPr id="4" name="Picture 12" descr="C:\Users\Administrator\Desktop\头盔式夜视仪\微信图片_20200306123228.jpg微信图片_20200306123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12" descr="C:\Users\Administrator\Desktop\头盔式夜视仪\微信图片_20200306123228.jpg微信图片_202003061232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 l="17539" t="26889" r="24346" b="167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085" cy="55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纯金属镜头，橡胶盖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25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4倍</w:t>
            </w:r>
          </w:p>
        </w:tc>
        <w:tc>
          <w:tcPr>
            <w:tcW w:w="251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drawing>
                <wp:inline distT="0" distB="0" distL="0" distR="0">
                  <wp:extent cx="565785" cy="755015"/>
                  <wp:effectExtent l="0" t="0" r="13335" b="6985"/>
                  <wp:docPr id="5" name="Picture 15" descr="C:\Users\Administrator\Desktop\头盔式夜视仪\微信图片_20200306123216.jpg微信图片_20200306123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5" descr="C:\Users\Administrator\Desktop\头盔式夜视仪\微信图片_20200306123216.jpg微信图片_20200306123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785" cy="755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纯金属镜头，橡胶盖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25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5倍+折返镜头</w:t>
            </w:r>
          </w:p>
        </w:tc>
        <w:tc>
          <w:tcPr>
            <w:tcW w:w="251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drawing>
                <wp:inline distT="0" distB="0" distL="0" distR="0">
                  <wp:extent cx="500380" cy="668020"/>
                  <wp:effectExtent l="0" t="0" r="2540" b="2540"/>
                  <wp:docPr id="6" name="Picture 16" descr="C:\Users\Administrator\Desktop\头盔式夜视仪\微信图片_20200306123223.jpg微信图片_20200306123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6" descr="C:\Users\Administrator\Desktop\头盔式夜视仪\微信图片_20200306123223.jpg微信图片_20200306123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380" cy="668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金属镜头，橡胶盖</w:t>
            </w:r>
          </w:p>
        </w:tc>
      </w:tr>
    </w:tbl>
    <w:p>
      <w:pPr>
        <w:ind w:firstLine="480"/>
        <w:rPr>
          <w:rFonts w:ascii="宋体" w:hAnsi="宋体" w:cs="宋体"/>
          <w:color w:val="000000"/>
          <w:kern w:val="0"/>
          <w:szCs w:val="21"/>
        </w:rPr>
      </w:pPr>
    </w:p>
    <w:p>
      <w:pPr>
        <w:ind w:firstLine="480"/>
        <w:rPr>
          <w:rFonts w:ascii="宋体" w:hAnsi="宋体" w:cs="宋体"/>
          <w:color w:val="000000"/>
          <w:kern w:val="0"/>
          <w:szCs w:val="21"/>
        </w:rPr>
      </w:pPr>
    </w:p>
    <w:p>
      <w:pPr>
        <w:ind w:firstLine="480"/>
      </w:pPr>
      <w:r>
        <w:rPr>
          <w:rFonts w:hint="eastAsia"/>
        </w:rPr>
        <w:t>目镜（不可组装拆卸）</w:t>
      </w:r>
    </w:p>
    <w:p>
      <w:pPr>
        <w:ind w:firstLine="480"/>
      </w:pPr>
      <w:r>
        <w:rPr>
          <w:rFonts w:hint="eastAsia"/>
        </w:rPr>
        <w:t>在使用时，请先透过目镜观察成像情况，然后旋转调节目镜，目镜调节到最佳位置后，变焦无须再调节。</w:t>
      </w:r>
    </w:p>
    <w:p>
      <w:pPr>
        <w:ind w:firstLine="480"/>
        <w:rPr>
          <w:rFonts w:ascii="宋体" w:hAnsi="宋体"/>
        </w:rPr>
      </w:pPr>
    </w:p>
    <w:p>
      <w:pPr>
        <w:ind w:firstLine="480"/>
        <w:jc w:val="center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1847215" cy="1266190"/>
            <wp:effectExtent l="0" t="0" r="12065" b="13970"/>
            <wp:docPr id="24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3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7215" cy="126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ascii="宋体" w:hAnsi="宋体"/>
        </w:rPr>
      </w:pPr>
      <w:r>
        <w:rPr>
          <w:rFonts w:hint="eastAsia" w:ascii="宋体" w:hAnsi="宋体"/>
        </w:rPr>
        <w:t>图</w:t>
      </w:r>
      <w:r>
        <w:rPr>
          <w:rFonts w:ascii="宋体" w:hAnsi="宋体"/>
        </w:rPr>
        <w:t>6 目镜</w:t>
      </w:r>
    </w:p>
    <w:p>
      <w:pPr>
        <w:ind w:left="-410" w:leftChars="-256" w:hanging="204" w:hangingChars="85"/>
        <w:rPr>
          <w:rFonts w:ascii="宋体" w:hAnsi="宋体"/>
          <w:szCs w:val="21"/>
        </w:rPr>
      </w:pPr>
    </w:p>
    <w:p>
      <w:pPr>
        <w:pStyle w:val="2"/>
        <w:bidi w:val="0"/>
      </w:pPr>
      <w:bookmarkStart w:id="8" w:name="_Toc3842"/>
      <w:r>
        <w:rPr>
          <w:rFonts w:hint="eastAsia"/>
        </w:rPr>
        <w:t>操作使用说明</w:t>
      </w:r>
      <w:bookmarkEnd w:id="8"/>
    </w:p>
    <w:p>
      <w:pPr>
        <w:pStyle w:val="3"/>
        <w:bidi w:val="0"/>
      </w:pPr>
      <w:bookmarkStart w:id="9" w:name="_Toc6176"/>
      <w:r>
        <w:rPr>
          <w:rFonts w:hint="eastAsia"/>
        </w:rPr>
        <w:t>工作前准备</w:t>
      </w:r>
      <w:bookmarkEnd w:id="9"/>
    </w:p>
    <w:p>
      <w:pPr>
        <w:ind w:left="0" w:leftChars="0" w:firstLine="0" w:firstLineChars="0"/>
      </w:pPr>
      <w:r>
        <w:rPr>
          <w:rFonts w:hint="eastAsia"/>
          <w:lang w:val="en-US" w:eastAsia="zh-CN"/>
        </w:rPr>
        <w:t xml:space="preserve">    </w:t>
      </w:r>
      <w:r>
        <w:rPr>
          <w:rFonts w:hint="default"/>
          <w:lang w:val="en-US" w:eastAsia="zh-CN"/>
        </w:rPr>
        <w:drawing>
          <wp:inline distT="0" distB="0" distL="114300" distR="114300">
            <wp:extent cx="1043305" cy="494665"/>
            <wp:effectExtent l="0" t="0" r="8255" b="8255"/>
            <wp:docPr id="12" name="图片 12" descr="1583474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58347449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43305" cy="49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/>
      </w:pPr>
      <w:r>
        <w:rPr>
          <w:rFonts w:hint="eastAsia"/>
        </w:rPr>
        <w:t>使用前，请务必在佩戴前检查绑线和卡扣是否有断裂、受损等情况，如果绑线或卡扣功能失常，可能会造成人身伤害！</w:t>
      </w:r>
    </w:p>
    <w:p>
      <w:pPr>
        <w:ind w:firstLine="480"/>
      </w:pPr>
      <w:r>
        <w:rPr>
          <w:rFonts w:hint="eastAsia"/>
        </w:rPr>
        <w:t>开关置于“OFF”位置，确保物镜盖盖住物镜。卸下电池盖，而后放入电池，并保证其极性正确，最后再装上电池盖。</w:t>
      </w:r>
    </w:p>
    <w:p>
      <w:pPr>
        <w:ind w:firstLine="480"/>
      </w:pPr>
      <w:r>
        <w:rPr>
          <w:rFonts w:hint="eastAsia"/>
        </w:rPr>
        <w:t>初次使用时，将无夜视仪的头盔戴在头上，锁住下巴处的扣子并把在头盔后面的带扎紧、定位，然后卸下.</w:t>
      </w:r>
      <w:r>
        <w:t>0.</w:t>
      </w:r>
      <w:r>
        <w:rPr>
          <w:rFonts w:hint="eastAsia"/>
        </w:rPr>
        <w:t>在下巴处的扣子和头盔。使用前把夜视仪装入头盔（头盔转接件“卡槽”必须置于头盔的转接导轨中）并用固定螺母紧固。按头盔翻转按钮转动夜视仪到非工作的位置（垂直）。在此位置上，把头盔戴在头上。按头盔翻转按钮并转动夜视仪至工作的位置（水平）。旋动电源工作开关至“ON”的状态，电源指示灯亮。约1~3秒，便会出现图像。用目镜调节器调节屈光度至最佳图像效果。</w:t>
      </w:r>
    </w:p>
    <w:p>
      <w:pPr>
        <w:ind w:firstLine="480"/>
      </w:pPr>
      <w:r>
        <w:rPr>
          <w:rFonts w:hint="eastAsia"/>
        </w:rPr>
        <w:t>用物镜调节器调节物镜的焦距（物镜在装上物镜盖时，清晰度是稍微变化的）将物像调节清晰。</w:t>
      </w:r>
    </w:p>
    <w:p>
      <w:pPr>
        <w:ind w:firstLine="480"/>
      </w:pPr>
      <w:r>
        <w:rPr>
          <w:rFonts w:hint="eastAsia"/>
        </w:rPr>
        <w:t>调节头盔扎带至最舒适的和最佳的观察状态。即完成使用前的准备工作。工作完毕后旋动电源工作开关至“OFF（关闭）”的状态，电源指示等灭。打开在下巴处的锁紧扣子，卸下带有夜视仪的头盔组建。从头盔上卸下夜视仪。</w:t>
      </w:r>
    </w:p>
    <w:p>
      <w:pPr>
        <w:pStyle w:val="3"/>
        <w:bidi w:val="0"/>
      </w:pPr>
      <w:bookmarkStart w:id="10" w:name="_Toc23942"/>
      <w:r>
        <w:rPr>
          <w:rFonts w:hint="eastAsia"/>
        </w:rPr>
        <w:t>使用说明</w:t>
      </w:r>
      <w:bookmarkEnd w:id="10"/>
    </w:p>
    <w:p>
      <w:pPr>
        <w:pStyle w:val="29"/>
        <w:numPr>
          <w:ilvl w:val="0"/>
          <w:numId w:val="3"/>
        </w:numPr>
        <w:ind w:firstLineChars="0"/>
      </w:pPr>
      <w:r>
        <w:rPr>
          <w:rFonts w:hint="eastAsia"/>
        </w:rPr>
        <w:t>打开电池舱盖前，图示“</w:t>
      </w:r>
      <w:r>
        <w:t>7</w:t>
      </w:r>
      <w:r>
        <w:rPr>
          <w:rFonts w:hint="eastAsia"/>
        </w:rPr>
        <w:t>”电源工作开关档必须在off关闭档状态下，然后打开电池舱盖安装电池，拧紧电池舱盖。</w:t>
      </w:r>
    </w:p>
    <w:p>
      <w:pPr>
        <w:pStyle w:val="29"/>
        <w:numPr>
          <w:ilvl w:val="0"/>
          <w:numId w:val="3"/>
        </w:numPr>
        <w:ind w:firstLineChars="0"/>
      </w:pPr>
      <w:r>
        <w:rPr>
          <w:rFonts w:hint="eastAsia"/>
        </w:rPr>
        <w:t>将图示“</w:t>
      </w:r>
      <w:r>
        <w:t>7</w:t>
      </w:r>
      <w:r>
        <w:rPr>
          <w:rFonts w:hint="eastAsia"/>
        </w:rPr>
        <w:t>”电源工作开关旋至“ON”位置时，可以通过目镜进行观察。</w:t>
      </w:r>
    </w:p>
    <w:p>
      <w:pPr>
        <w:pStyle w:val="29"/>
        <w:numPr>
          <w:ilvl w:val="0"/>
          <w:numId w:val="3"/>
        </w:numPr>
        <w:ind w:firstLineChars="0"/>
      </w:pPr>
      <w:r>
        <w:rPr>
          <w:rFonts w:hint="eastAsia"/>
        </w:rPr>
        <w:t>在没有光源黑暗的情况下，将图示“</w:t>
      </w:r>
      <w:r>
        <w:t>7</w:t>
      </w:r>
      <w:r>
        <w:rPr>
          <w:rFonts w:hint="eastAsia"/>
        </w:rPr>
        <w:t>” 电源工作开关旋至“IR”位置，打开红外辅助照明，并通过物镜进行观察。</w:t>
      </w:r>
    </w:p>
    <w:p>
      <w:pPr>
        <w:pStyle w:val="29"/>
        <w:numPr>
          <w:ilvl w:val="0"/>
          <w:numId w:val="3"/>
        </w:numPr>
        <w:ind w:firstLineChars="0"/>
      </w:pPr>
      <w:r>
        <w:rPr>
          <w:rFonts w:hint="eastAsia"/>
        </w:rPr>
        <w:t>在观察过程中，眼睛通过目镜，用手转动物镜调旋钮及目镜调节旋钮，调节焦距和屈光度，使所观察图象达到最佳状态。</w:t>
      </w:r>
    </w:p>
    <w:p>
      <w:pPr>
        <w:pStyle w:val="29"/>
        <w:numPr>
          <w:ilvl w:val="0"/>
          <w:numId w:val="3"/>
        </w:numPr>
        <w:ind w:firstLineChars="0"/>
      </w:pPr>
      <w:r>
        <w:rPr>
          <w:rFonts w:hint="eastAsia"/>
        </w:rPr>
        <w:t>头盔转接件是用于连接夜视仪与头盔的卡槽。</w:t>
      </w:r>
    </w:p>
    <w:p>
      <w:pPr>
        <w:pStyle w:val="29"/>
        <w:numPr>
          <w:ilvl w:val="0"/>
          <w:numId w:val="3"/>
        </w:numPr>
        <w:ind w:firstLineChars="0"/>
      </w:pPr>
      <w:r>
        <w:rPr>
          <w:rFonts w:hint="eastAsia"/>
        </w:rPr>
        <w:t>使用完毕后，必须先将图示“</w:t>
      </w:r>
      <w:r>
        <w:t>7</w:t>
      </w:r>
      <w:r>
        <w:rPr>
          <w:rFonts w:hint="eastAsia"/>
        </w:rPr>
        <w:t>” 电源工作开关旋至“OFF”关闭电源，再将物镜盖盖在物镜镜头上，工作结束。</w:t>
      </w:r>
    </w:p>
    <w:p>
      <w:pPr>
        <w:ind w:left="480" w:firstLine="0" w:firstLineChars="0"/>
      </w:pPr>
      <w:r>
        <w:rPr>
          <w:rFonts w:hint="eastAsia"/>
        </w:rPr>
        <w:t>注意：在长时间不用的情况下，请取出电池，防止损坏机器。</w:t>
      </w:r>
    </w:p>
    <w:p>
      <w:pPr>
        <w:ind w:firstLine="480"/>
        <w:jc w:val="center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1297305" cy="1339850"/>
            <wp:effectExtent l="0" t="0" r="13335" b="1270"/>
            <wp:docPr id="25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3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7305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ascii="宋体" w:hAnsi="宋体"/>
        </w:rPr>
      </w:pPr>
      <w:r>
        <w:rPr>
          <w:rFonts w:hint="eastAsia" w:ascii="宋体" w:hAnsi="宋体"/>
        </w:rPr>
        <w:t>图7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电源开关</w:t>
      </w:r>
    </w:p>
    <w:p>
      <w:pPr>
        <w:pStyle w:val="25"/>
        <w:ind w:left="1781" w:leftChars="742" w:firstLine="2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电源开关说明：</w:t>
      </w:r>
    </w:p>
    <w:tbl>
      <w:tblPr>
        <w:tblStyle w:val="17"/>
        <w:tblW w:w="69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6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846" w:type="dxa"/>
            <w:shd w:val="clear" w:color="auto" w:fill="auto"/>
            <w:vAlign w:val="center"/>
          </w:tcPr>
          <w:p>
            <w:pPr>
              <w:pStyle w:val="25"/>
              <w:spacing w:before="0"/>
              <w:ind w:left="0" w:leftChars="0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动作</w:t>
            </w:r>
          </w:p>
        </w:tc>
        <w:tc>
          <w:tcPr>
            <w:tcW w:w="6095" w:type="dxa"/>
            <w:shd w:val="clear" w:color="auto" w:fill="auto"/>
            <w:vAlign w:val="center"/>
          </w:tcPr>
          <w:p>
            <w:pPr>
              <w:pStyle w:val="25"/>
              <w:snapToGrid w:val="0"/>
              <w:spacing w:before="0" w:line="240" w:lineRule="auto"/>
              <w:ind w:left="0" w:leftChars="0" w:firstLine="480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846" w:type="dxa"/>
            <w:vAlign w:val="center"/>
          </w:tcPr>
          <w:p>
            <w:pPr>
              <w:pStyle w:val="25"/>
              <w:spacing w:before="0"/>
              <w:ind w:left="0" w:left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OFF</w:t>
            </w:r>
          </w:p>
        </w:tc>
        <w:tc>
          <w:tcPr>
            <w:tcW w:w="6095" w:type="dxa"/>
            <w:vAlign w:val="center"/>
          </w:tcPr>
          <w:p>
            <w:pPr>
              <w:pStyle w:val="25"/>
              <w:snapToGrid w:val="0"/>
              <w:spacing w:before="0" w:line="240" w:lineRule="auto"/>
              <w:ind w:left="0" w:leftChars="0" w:firstLine="48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关机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pStyle w:val="25"/>
              <w:spacing w:before="0"/>
              <w:ind w:left="0" w:left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ON</w:t>
            </w:r>
          </w:p>
        </w:tc>
        <w:tc>
          <w:tcPr>
            <w:tcW w:w="6095" w:type="dxa"/>
            <w:vAlign w:val="center"/>
          </w:tcPr>
          <w:p>
            <w:pPr>
              <w:pStyle w:val="25"/>
              <w:snapToGrid w:val="0"/>
              <w:spacing w:before="0" w:line="240" w:lineRule="auto"/>
              <w:ind w:left="0" w:leftChars="0" w:firstLine="48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电源按钮，装上电池后，打开电源按钮，可在微光环境下使用仪器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pStyle w:val="25"/>
              <w:spacing w:before="0"/>
              <w:ind w:left="0" w:left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IR</w:t>
            </w:r>
          </w:p>
        </w:tc>
        <w:tc>
          <w:tcPr>
            <w:tcW w:w="6095" w:type="dxa"/>
            <w:vAlign w:val="center"/>
          </w:tcPr>
          <w:p>
            <w:pPr>
              <w:pStyle w:val="25"/>
              <w:snapToGrid w:val="0"/>
              <w:spacing w:before="0" w:line="240" w:lineRule="auto"/>
              <w:ind w:left="0" w:leftChars="0" w:firstLine="48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红外按钮，电源开启的情况下，打开IR按钮，可在完全无光的环境下使用仪器（如：暗室）</w:t>
            </w:r>
          </w:p>
        </w:tc>
      </w:tr>
    </w:tbl>
    <w:p>
      <w:pPr>
        <w:pStyle w:val="3"/>
        <w:bidi w:val="0"/>
      </w:pPr>
      <w:bookmarkStart w:id="11" w:name="_Toc15365"/>
      <w:r>
        <w:rPr>
          <w:rFonts w:hint="eastAsia"/>
        </w:rPr>
        <w:t>头盔连接说明</w:t>
      </w:r>
      <w:bookmarkEnd w:id="11"/>
    </w:p>
    <w:p>
      <w:pPr>
        <w:ind w:firstLine="480"/>
      </w:pPr>
      <w:r>
        <w:rPr>
          <w:rFonts w:hint="eastAsia"/>
        </w:rPr>
        <w:t>图8是我司按照真人使用佩戴时的假人模型。按照假人佩戴头盔的图连接头盔，连接前务必检查线和卡扣是否正常。</w:t>
      </w:r>
    </w:p>
    <w:p>
      <w:pPr>
        <w:pStyle w:val="29"/>
        <w:ind w:left="960" w:leftChars="400" w:firstLine="0" w:firstLineChars="0"/>
        <w:jc w:val="center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/>
        </w:rPr>
        <w:drawing>
          <wp:inline distT="0" distB="0" distL="0" distR="0">
            <wp:extent cx="2061210" cy="1666875"/>
            <wp:effectExtent l="0" t="0" r="11430" b="952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121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9"/>
        <w:ind w:left="960" w:leftChars="400" w:firstLine="0" w:firstLineChars="0"/>
        <w:jc w:val="center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图8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</w:rPr>
        <w:t>佩戴头盔</w:t>
      </w:r>
    </w:p>
    <w:p>
      <w:pPr>
        <w:pStyle w:val="29"/>
        <w:ind w:left="960" w:leftChars="400" w:firstLine="0" w:firstLineChars="0"/>
        <w:rPr>
          <w:rFonts w:ascii="宋体" w:hAnsi="宋体"/>
        </w:rPr>
      </w:pPr>
    </w:p>
    <w:p>
      <w:pPr>
        <w:ind w:firstLine="562"/>
        <w:rPr>
          <w:rFonts w:ascii="宋体" w:hAnsi="宋体"/>
          <w:b/>
          <w:bCs/>
          <w:sz w:val="28"/>
        </w:rPr>
      </w:pPr>
    </w:p>
    <w:p>
      <w:pPr>
        <w:pStyle w:val="3"/>
        <w:bidi w:val="0"/>
      </w:pPr>
      <w:bookmarkStart w:id="12" w:name="_Toc24994"/>
      <w:r>
        <w:rPr>
          <w:rFonts w:hint="eastAsia"/>
        </w:rPr>
        <w:t>产品更换物镜说明</w:t>
      </w:r>
      <w:bookmarkEnd w:id="12"/>
    </w:p>
    <w:p>
      <w:pPr>
        <w:pStyle w:val="29"/>
        <w:numPr>
          <w:ilvl w:val="0"/>
          <w:numId w:val="4"/>
        </w:numPr>
        <w:ind w:firstLineChars="0"/>
      </w:pPr>
      <w:r>
        <w:rPr>
          <w:rFonts w:hint="eastAsia"/>
        </w:rPr>
        <w:t>夜视仪整机结构。</w:t>
      </w:r>
    </w:p>
    <w:p>
      <w:pPr>
        <w:ind w:firstLine="480"/>
        <w:jc w:val="center"/>
        <w:rPr>
          <w:rFonts w:ascii="宋体" w:hAnsi="宋体"/>
        </w:rPr>
      </w:pPr>
      <w:r>
        <w:rPr>
          <w:rFonts w:hint="eastAsia" w:ascii="宋体" w:hAnsi="宋体"/>
        </w:rPr>
        <w:drawing>
          <wp:inline distT="0" distB="0" distL="0" distR="0">
            <wp:extent cx="3143250" cy="1585595"/>
            <wp:effectExtent l="0" t="0" r="11430" b="14605"/>
            <wp:docPr id="26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58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ascii="宋体" w:hAnsi="宋体"/>
        </w:rPr>
      </w:pPr>
      <w:r>
        <w:rPr>
          <w:rFonts w:hint="eastAsia" w:ascii="宋体" w:hAnsi="宋体"/>
        </w:rPr>
        <w:t>图</w:t>
      </w:r>
      <w:r>
        <w:rPr>
          <w:rFonts w:ascii="宋体" w:hAnsi="宋体"/>
        </w:rPr>
        <w:t xml:space="preserve">9 </w:t>
      </w:r>
      <w:r>
        <w:rPr>
          <w:rFonts w:hint="eastAsia" w:ascii="宋体" w:hAnsi="宋体"/>
        </w:rPr>
        <w:t>夜视仪整机结构</w:t>
      </w:r>
    </w:p>
    <w:p>
      <w:pPr>
        <w:pStyle w:val="29"/>
        <w:numPr>
          <w:ilvl w:val="0"/>
          <w:numId w:val="4"/>
        </w:numPr>
        <w:ind w:firstLineChars="0"/>
      </w:pPr>
      <w:r>
        <w:rPr>
          <w:rFonts w:hint="eastAsia"/>
        </w:rPr>
        <w:t>旋开电池仓装入电池。图</w:t>
      </w:r>
      <w:r>
        <w:t>10</w:t>
      </w:r>
      <w:r>
        <w:rPr>
          <w:rFonts w:hint="eastAsia"/>
        </w:rPr>
        <w:t>是一倍整机图</w:t>
      </w:r>
    </w:p>
    <w:p>
      <w:pPr>
        <w:ind w:firstLine="480"/>
        <w:rPr>
          <w:rFonts w:ascii="宋体" w:hAnsi="宋体"/>
        </w:rPr>
      </w:pPr>
    </w:p>
    <w:p>
      <w:pPr>
        <w:ind w:firstLine="480"/>
        <w:jc w:val="center"/>
        <w:rPr>
          <w:rFonts w:ascii="宋体" w:hAnsi="宋体"/>
        </w:rPr>
      </w:pPr>
      <w:r>
        <w:rPr>
          <w:rFonts w:hint="eastAsia" w:ascii="宋体" w:hAnsi="宋体"/>
        </w:rPr>
        <w:drawing>
          <wp:inline distT="0" distB="0" distL="0" distR="0">
            <wp:extent cx="1987550" cy="2651125"/>
            <wp:effectExtent l="0" t="0" r="635" b="8890"/>
            <wp:docPr id="8" name="Picture 3" descr="C:\Users\Administrator\Desktop\头盔式夜视仪\微信图片_20200306123236.jpg微信图片_20200306123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3" descr="C:\Users\Administrator\Desktop\头盔式夜视仪\微信图片_20200306123236.jpg微信图片_2020030612323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987550" cy="265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ascii="宋体" w:hAnsi="宋体"/>
        </w:rPr>
      </w:pPr>
      <w:r>
        <w:rPr>
          <w:rFonts w:hint="eastAsia" w:ascii="宋体" w:hAnsi="宋体"/>
        </w:rPr>
        <w:t>图</w:t>
      </w:r>
      <w:r>
        <w:rPr>
          <w:rFonts w:ascii="宋体" w:hAnsi="宋体"/>
        </w:rPr>
        <w:t xml:space="preserve">10 </w:t>
      </w:r>
      <w:r>
        <w:rPr>
          <w:rFonts w:hint="eastAsia" w:ascii="宋体" w:hAnsi="宋体"/>
        </w:rPr>
        <w:t>一倍整机图</w:t>
      </w:r>
    </w:p>
    <w:p>
      <w:pPr>
        <w:pStyle w:val="29"/>
        <w:numPr>
          <w:ilvl w:val="0"/>
          <w:numId w:val="4"/>
        </w:numPr>
        <w:ind w:firstLineChars="0"/>
      </w:pPr>
      <w:r>
        <w:rPr>
          <w:rFonts w:hint="eastAsia"/>
        </w:rPr>
        <w:t>关闭电源，将一倍物镜旋拧下。（切记确保电源关闭下进行操作）</w:t>
      </w:r>
    </w:p>
    <w:p>
      <w:pPr>
        <w:ind w:firstLine="480"/>
        <w:jc w:val="center"/>
        <w:rPr>
          <w:rFonts w:ascii="宋体" w:hAnsi="宋体"/>
        </w:rPr>
      </w:pPr>
      <w:r>
        <w:rPr>
          <w:rFonts w:hint="eastAsia" w:ascii="宋体" w:hAnsi="宋体"/>
        </w:rPr>
        <w:drawing>
          <wp:inline distT="0" distB="0" distL="0" distR="0">
            <wp:extent cx="1921510" cy="2562225"/>
            <wp:effectExtent l="0" t="0" r="13335" b="13970"/>
            <wp:docPr id="9" name="Picture 5" descr="C:\Users\Administrator\Desktop\头盔式夜视仪\微信图片_20200306123244.jpg微信图片_20200306123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5" descr="C:\Users\Administrator\Desktop\头盔式夜视仪\微信图片_20200306123244.jpg微信图片_2020030612324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92151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ascii="宋体" w:hAnsi="宋体"/>
        </w:rPr>
      </w:pPr>
      <w:r>
        <w:rPr>
          <w:rFonts w:hint="eastAsia" w:ascii="宋体" w:hAnsi="宋体"/>
        </w:rPr>
        <w:t>图1</w:t>
      </w:r>
      <w:r>
        <w:rPr>
          <w:rFonts w:ascii="宋体" w:hAnsi="宋体"/>
        </w:rPr>
        <w:t xml:space="preserve">1 </w:t>
      </w:r>
      <w:r>
        <w:rPr>
          <w:rFonts w:hint="eastAsia" w:ascii="宋体" w:hAnsi="宋体"/>
        </w:rPr>
        <w:t>拧出一倍物镜</w:t>
      </w:r>
    </w:p>
    <w:p>
      <w:pPr>
        <w:ind w:left="-410" w:leftChars="-256" w:hanging="204" w:hangingChars="85"/>
        <w:rPr>
          <w:rFonts w:ascii="宋体" w:hAnsi="宋体"/>
          <w:szCs w:val="21"/>
        </w:rPr>
      </w:pPr>
    </w:p>
    <w:p>
      <w:pPr>
        <w:pStyle w:val="29"/>
        <w:numPr>
          <w:ilvl w:val="0"/>
          <w:numId w:val="4"/>
        </w:numPr>
        <w:ind w:firstLineChars="0"/>
      </w:pPr>
      <w:r>
        <w:rPr>
          <w:rFonts w:hint="eastAsia"/>
        </w:rPr>
        <w:t>以四倍物镜为例，将物镜旋转安装上（旋转开关可手持远距离观察）</w:t>
      </w:r>
    </w:p>
    <w:p>
      <w:pPr>
        <w:ind w:firstLine="480"/>
        <w:jc w:val="center"/>
        <w:rPr>
          <w:rFonts w:ascii="宋体" w:hAnsi="宋体"/>
        </w:rPr>
      </w:pPr>
      <w:r>
        <w:rPr>
          <w:rFonts w:hint="eastAsia" w:ascii="宋体" w:hAnsi="宋体"/>
        </w:rPr>
        <w:drawing>
          <wp:inline distT="0" distB="0" distL="0" distR="0">
            <wp:extent cx="2760980" cy="2070735"/>
            <wp:effectExtent l="0" t="0" r="12700" b="1905"/>
            <wp:docPr id="10" name="Picture 4" descr="C:\Users\Administrator\Desktop\头盔式夜视仪\微信图片_20200306123248.jpg微信图片_20200306123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4" descr="C:\Users\Administrator\Desktop\头盔式夜视仪\微信图片_20200306123248.jpg微信图片_20200306123248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0980" cy="207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ascii="宋体" w:hAnsi="宋体"/>
        </w:rPr>
      </w:pPr>
      <w:r>
        <w:rPr>
          <w:rFonts w:hint="eastAsia" w:ascii="宋体" w:hAnsi="宋体"/>
        </w:rPr>
        <w:t>图1</w:t>
      </w:r>
      <w:r>
        <w:rPr>
          <w:rFonts w:ascii="宋体" w:hAnsi="宋体"/>
        </w:rPr>
        <w:t xml:space="preserve">2 </w:t>
      </w:r>
      <w:r>
        <w:rPr>
          <w:rFonts w:hint="eastAsia" w:ascii="宋体" w:hAnsi="宋体"/>
        </w:rPr>
        <w:t>已安装四倍物镜</w:t>
      </w:r>
    </w:p>
    <w:p>
      <w:pPr>
        <w:pStyle w:val="29"/>
        <w:numPr>
          <w:ilvl w:val="0"/>
          <w:numId w:val="4"/>
        </w:numPr>
        <w:ind w:firstLineChars="0"/>
      </w:pPr>
      <w:r>
        <w:rPr>
          <w:rFonts w:hint="eastAsia"/>
        </w:rPr>
        <w:t>观察</w:t>
      </w:r>
    </w:p>
    <w:p>
      <w:pPr>
        <w:ind w:firstLine="480"/>
      </w:pPr>
      <w:r>
        <w:rPr>
          <w:rFonts w:hint="eastAsia"/>
        </w:rPr>
        <w:t>装好带有夜视仪的头盔，转动夜视仪至工作位置，旋动电源开关至“ON”的位置。调节目镜屈光度和物镜焦距，就可以进行观察。</w:t>
      </w:r>
    </w:p>
    <w:p>
      <w:pPr>
        <w:ind w:firstLine="480"/>
      </w:pPr>
      <w:r>
        <w:rPr>
          <w:rFonts w:hint="eastAsia"/>
        </w:rPr>
        <w:t>在特别暗的情况下（如：地下室、岩洞和微光（星光））进行观察时，按动红外辅助光源“IR”按钮（红外辅助光源开始工作）。</w:t>
      </w:r>
    </w:p>
    <w:p>
      <w:pPr>
        <w:ind w:firstLine="480"/>
      </w:pPr>
      <w:r>
        <w:rPr>
          <w:rFonts w:hint="eastAsia"/>
        </w:rPr>
        <w:t>使用后，按动开关至“OFF（关闭）”的位置，卸下装有夜视仪的头盔，拆下夜视仪、取出电池。把夜视仪装入背包。</w:t>
      </w:r>
    </w:p>
    <w:p>
      <w:pPr>
        <w:pStyle w:val="25"/>
        <w:ind w:left="480" w:firstLine="420"/>
        <w:rPr>
          <w:rFonts w:ascii="宋体" w:hAnsi="宋体" w:eastAsia="宋体"/>
          <w:shd w:val="clear" w:color="auto" w:fill="FF0000"/>
        </w:rPr>
      </w:pPr>
    </w:p>
    <w:p>
      <w:pPr>
        <w:pStyle w:val="25"/>
        <w:ind w:left="0" w:leftChars="0" w:firstLine="0" w:firstLineChars="0"/>
        <w:rPr>
          <w:rFonts w:ascii="宋体" w:hAnsi="宋体" w:eastAsia="宋体"/>
          <w:shd w:val="clear" w:color="auto" w:fill="FF0000"/>
        </w:rPr>
      </w:pPr>
    </w:p>
    <w:p/>
    <w:p>
      <w:pPr>
        <w:ind w:firstLine="480"/>
        <w:rPr>
          <w:shd w:val="clear" w:color="auto" w:fill="FF0000"/>
        </w:rPr>
      </w:pPr>
      <w:r>
        <w:rPr>
          <w:rFonts w:hint="eastAsia"/>
          <w:highlight w:val="yellow"/>
          <w:shd w:val="clear" w:color="auto" w:fill="FF0000"/>
        </w:rPr>
        <w:t>警告：红外光源是一种肉眼不可见的光，应在特别暗的情况下方能使用。</w:t>
      </w:r>
    </w:p>
    <w:p>
      <w:pPr>
        <w:ind w:firstLine="3120" w:firstLineChars="1300"/>
        <w:rPr>
          <w:rFonts w:ascii="宋体" w:hAnsi="宋体"/>
          <w:szCs w:val="21"/>
        </w:rPr>
      </w:pPr>
    </w:p>
    <w:p>
      <w:pPr>
        <w:ind w:left="-410" w:leftChars="-256" w:hanging="204" w:hangingChars="85"/>
        <w:rPr>
          <w:rFonts w:ascii="宋体" w:hAnsi="宋体"/>
          <w:szCs w:val="21"/>
        </w:rPr>
      </w:pPr>
    </w:p>
    <w:p>
      <w:pPr>
        <w:ind w:left="-410" w:leftChars="-256" w:hanging="204" w:hangingChars="85"/>
        <w:rPr>
          <w:rFonts w:ascii="宋体" w:hAnsi="宋体"/>
          <w:szCs w:val="21"/>
        </w:rPr>
      </w:pPr>
    </w:p>
    <w:p>
      <w:pPr>
        <w:widowControl/>
        <w:ind w:firstLine="480"/>
        <w:jc w:val="left"/>
        <w:rPr>
          <w:rFonts w:ascii="宋体" w:hAnsi="宋体" w:cs="黑体"/>
          <w:color w:val="000000"/>
          <w:kern w:val="0"/>
          <w:sz w:val="44"/>
          <w:szCs w:val="44"/>
        </w:rPr>
      </w:pPr>
      <w:r>
        <w:rPr>
          <w:rFonts w:ascii="宋体" w:hAnsi="宋体"/>
        </w:rPr>
        <w:br w:type="page"/>
      </w:r>
    </w:p>
    <w:p>
      <w:pPr>
        <w:pStyle w:val="2"/>
        <w:bidi w:val="0"/>
      </w:pPr>
      <w:bookmarkStart w:id="13" w:name="_Toc1513"/>
      <w:r>
        <w:rPr>
          <w:rFonts w:hint="eastAsia"/>
        </w:rPr>
        <w:t>保养与维护</w:t>
      </w:r>
      <w:bookmarkEnd w:id="13"/>
    </w:p>
    <w:p>
      <w:pPr>
        <w:rPr>
          <w:rFonts w:hint="default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保养与维护注意事项：</w:t>
      </w:r>
    </w:p>
    <w:p>
      <w:pPr>
        <w:pStyle w:val="29"/>
        <w:numPr>
          <w:ilvl w:val="0"/>
          <w:numId w:val="5"/>
        </w:numPr>
        <w:ind w:firstLineChars="0"/>
      </w:pPr>
      <w:r>
        <w:rPr>
          <w:rFonts w:hint="eastAsia"/>
        </w:rPr>
        <w:t>物镜更换时有可能溅入水滴进入湿气，从而引起机体性能衰减；因此在更换前应当对机体和物镜进行晾干，然后再更换安装。</w:t>
      </w:r>
    </w:p>
    <w:p>
      <w:pPr>
        <w:pStyle w:val="29"/>
        <w:numPr>
          <w:ilvl w:val="0"/>
          <w:numId w:val="5"/>
        </w:numPr>
        <w:ind w:firstLineChars="0"/>
      </w:pPr>
      <w:r>
        <w:rPr>
          <w:rFonts w:hint="eastAsia"/>
        </w:rPr>
        <w:t>禁止将观测中的夜视仪对准强光灯、太阳、焊接电弧等强光源，否则会降低夜视仪增益，影响其使用寿命，严重的情况下，会击穿夜视仪的关键器件像增强器。</w:t>
      </w:r>
    </w:p>
    <w:p>
      <w:pPr>
        <w:pStyle w:val="29"/>
        <w:numPr>
          <w:ilvl w:val="0"/>
          <w:numId w:val="5"/>
        </w:numPr>
        <w:ind w:firstLineChars="0"/>
      </w:pPr>
      <w:r>
        <w:rPr>
          <w:rFonts w:hint="eastAsia"/>
        </w:rPr>
        <w:t>为避免夜视仪核心部件---光电阴极疲劳，在每日光照度较强时，开机状态的夜视仪静止停放不应超过30分钟。</w:t>
      </w:r>
    </w:p>
    <w:p>
      <w:pPr>
        <w:pStyle w:val="29"/>
        <w:numPr>
          <w:ilvl w:val="0"/>
          <w:numId w:val="5"/>
        </w:numPr>
        <w:ind w:firstLineChars="0"/>
      </w:pPr>
      <w:r>
        <w:rPr>
          <w:rFonts w:hint="eastAsia"/>
        </w:rPr>
        <w:t>使用完毕，务必将电源开关置于关闭位置。</w:t>
      </w:r>
    </w:p>
    <w:p>
      <w:pPr>
        <w:pStyle w:val="29"/>
        <w:numPr>
          <w:ilvl w:val="0"/>
          <w:numId w:val="5"/>
        </w:numPr>
        <w:ind w:firstLineChars="0"/>
      </w:pPr>
      <w:r>
        <w:rPr>
          <w:rFonts w:hint="eastAsia"/>
        </w:rPr>
        <w:t>夜视仪应避免撞击，远离太阳光直射处。</w:t>
      </w:r>
    </w:p>
    <w:p>
      <w:pPr>
        <w:pStyle w:val="29"/>
        <w:numPr>
          <w:ilvl w:val="0"/>
          <w:numId w:val="5"/>
        </w:numPr>
        <w:ind w:firstLineChars="0"/>
      </w:pPr>
      <w:r>
        <w:rPr>
          <w:rFonts w:hint="eastAsia"/>
        </w:rPr>
        <w:t>携带夜视仪时，应盖好物镜盖，置于包装包中。</w:t>
      </w:r>
    </w:p>
    <w:p>
      <w:pPr>
        <w:pStyle w:val="29"/>
        <w:numPr>
          <w:ilvl w:val="0"/>
          <w:numId w:val="5"/>
        </w:numPr>
        <w:ind w:firstLineChars="0"/>
      </w:pPr>
      <w:r>
        <w:rPr>
          <w:rFonts w:hint="eastAsia"/>
        </w:rPr>
        <w:t>夜视仪不使用时应取下电池；放置温暖、干燥、远离加热装置的避光之处保存。</w:t>
      </w:r>
    </w:p>
    <w:p>
      <w:pPr>
        <w:pStyle w:val="29"/>
        <w:numPr>
          <w:ilvl w:val="0"/>
          <w:numId w:val="5"/>
        </w:numPr>
        <w:ind w:firstLineChars="0"/>
      </w:pPr>
      <w:r>
        <w:rPr>
          <w:rFonts w:hint="eastAsia"/>
        </w:rPr>
        <w:t>不可用手指接触镜片、夜视仪避免接触蒸气、化学气体和污物。</w:t>
      </w:r>
    </w:p>
    <w:p>
      <w:pPr>
        <w:pStyle w:val="29"/>
        <w:numPr>
          <w:ilvl w:val="0"/>
          <w:numId w:val="5"/>
        </w:numPr>
        <w:ind w:firstLineChars="0"/>
      </w:pPr>
      <w:r>
        <w:rPr>
          <w:rFonts w:hint="eastAsia"/>
        </w:rPr>
        <w:t>清洁镜面时，应使用摄影镜头专用的拭镜布或气压式喷射剂。</w:t>
      </w:r>
    </w:p>
    <w:p>
      <w:pPr>
        <w:pStyle w:val="29"/>
        <w:numPr>
          <w:ilvl w:val="0"/>
          <w:numId w:val="5"/>
        </w:numPr>
        <w:ind w:firstLineChars="0"/>
      </w:pPr>
      <w:r>
        <w:rPr>
          <w:rFonts w:hint="eastAsia"/>
        </w:rPr>
        <w:t>严禁擅自拆开机身或像增强器。</w:t>
      </w:r>
    </w:p>
    <w:p>
      <w:pPr>
        <w:widowControl/>
        <w:spacing w:before="160" w:line="360" w:lineRule="exact"/>
        <w:ind w:left="480" w:leftChars="200" w:firstLine="480"/>
        <w:jc w:val="left"/>
        <w:rPr>
          <w:rFonts w:ascii="宋体" w:hAnsi="宋体" w:cs="宋体"/>
          <w:color w:val="000000"/>
          <w:kern w:val="0"/>
          <w:szCs w:val="21"/>
        </w:rPr>
      </w:pPr>
    </w:p>
    <w:p>
      <w:pPr>
        <w:ind w:firstLine="480"/>
        <w:rPr>
          <w:rFonts w:ascii="宋体" w:hAnsi="宋体"/>
        </w:rPr>
      </w:pPr>
    </w:p>
    <w:p>
      <w:pPr>
        <w:ind w:firstLine="480"/>
        <w:rPr>
          <w:rFonts w:ascii="宋体" w:hAnsi="宋体"/>
          <w:szCs w:val="21"/>
        </w:rPr>
      </w:pPr>
    </w:p>
    <w:p>
      <w:pPr>
        <w:ind w:firstLine="480"/>
        <w:rPr>
          <w:rFonts w:ascii="宋体" w:hAnsi="宋体"/>
        </w:rPr>
      </w:pPr>
    </w:p>
    <w:p>
      <w:pPr>
        <w:widowControl/>
        <w:ind w:firstLine="480"/>
        <w:jc w:val="left"/>
        <w:rPr>
          <w:rFonts w:ascii="宋体" w:hAnsi="宋体" w:cs="黑体"/>
          <w:color w:val="000000"/>
          <w:kern w:val="0"/>
          <w:sz w:val="44"/>
          <w:szCs w:val="44"/>
        </w:rPr>
      </w:pPr>
      <w:r>
        <w:rPr>
          <w:rFonts w:ascii="宋体" w:hAnsi="宋体"/>
        </w:rPr>
        <w:br w:type="page"/>
      </w:r>
    </w:p>
    <w:p>
      <w:pPr>
        <w:pStyle w:val="2"/>
        <w:bidi w:val="0"/>
      </w:pPr>
      <w:bookmarkStart w:id="14" w:name="_Toc4202"/>
      <w:r>
        <w:rPr>
          <w:rFonts w:hint="eastAsia"/>
        </w:rPr>
        <w:t>故障与处理</w:t>
      </w:r>
      <w:bookmarkEnd w:id="14"/>
    </w:p>
    <w:p>
      <w:pPr>
        <w:pStyle w:val="29"/>
        <w:numPr>
          <w:ilvl w:val="0"/>
          <w:numId w:val="6"/>
        </w:numPr>
        <w:ind w:firstLineChars="0"/>
      </w:pPr>
      <w:r>
        <w:rPr>
          <w:rFonts w:hint="eastAsia"/>
        </w:rPr>
        <w:t>夜视仪根本不能启动工作。</w:t>
      </w:r>
    </w:p>
    <w:p>
      <w:pPr>
        <w:pStyle w:val="29"/>
        <w:numPr>
          <w:ilvl w:val="0"/>
          <w:numId w:val="6"/>
        </w:numPr>
        <w:ind w:firstLineChars="0"/>
      </w:pPr>
      <w:r>
        <w:rPr>
          <w:rFonts w:hint="eastAsia"/>
        </w:rPr>
        <w:t>应检查一下电池是否正确放置电源处及其使用状况。</w:t>
      </w:r>
    </w:p>
    <w:p>
      <w:pPr>
        <w:pStyle w:val="29"/>
        <w:numPr>
          <w:ilvl w:val="0"/>
          <w:numId w:val="6"/>
        </w:numPr>
        <w:ind w:firstLineChars="0"/>
      </w:pPr>
      <w:r>
        <w:rPr>
          <w:rFonts w:hint="eastAsia"/>
        </w:rPr>
        <w:t>夜视仪聚焦不好：</w:t>
      </w:r>
      <w:r>
        <w:br w:type="textWrapping"/>
      </w:r>
      <w:r>
        <w:rPr>
          <w:rFonts w:hint="eastAsia"/>
        </w:rPr>
        <w:t>应按照操作规程调试一下物镜和目镜，或用拭镜布擦拭一下镜片表面上的水汽。</w:t>
      </w:r>
    </w:p>
    <w:p>
      <w:pPr>
        <w:pStyle w:val="29"/>
        <w:numPr>
          <w:ilvl w:val="0"/>
          <w:numId w:val="6"/>
        </w:numPr>
        <w:ind w:firstLineChars="0"/>
      </w:pPr>
      <w:r>
        <w:rPr>
          <w:rFonts w:hint="eastAsia"/>
        </w:rPr>
        <w:t>图像衰减或消失：</w:t>
      </w:r>
      <w:r>
        <w:br w:type="textWrapping"/>
      </w:r>
      <w:r>
        <w:rPr>
          <w:rFonts w:hint="eastAsia"/>
        </w:rPr>
        <w:t>此故障是强光源刺激结果，这是夜视仪自我保护系统的表现。如果夜视仪自动关机，应将开关拧至“OFF”处，过1—2分钟后再开启使用。</w:t>
      </w:r>
    </w:p>
    <w:p>
      <w:pPr>
        <w:pStyle w:val="29"/>
        <w:numPr>
          <w:ilvl w:val="0"/>
          <w:numId w:val="6"/>
        </w:numPr>
        <w:ind w:firstLineChars="0"/>
      </w:pPr>
      <w:r>
        <w:rPr>
          <w:rFonts w:hint="eastAsia"/>
        </w:rPr>
        <w:t>夜视仪出现水汽凝结现象：</w:t>
      </w:r>
      <w:r>
        <w:br w:type="textWrapping"/>
      </w:r>
      <w:r>
        <w:rPr>
          <w:rFonts w:hint="eastAsia"/>
        </w:rPr>
        <w:t>在寒冷季节，目镜镜头表面有时会出现水汽凝结现象。建议定期在镜头表面涂抹特种防护液。</w:t>
      </w:r>
    </w:p>
    <w:p>
      <w:pPr>
        <w:pStyle w:val="29"/>
        <w:numPr>
          <w:ilvl w:val="0"/>
          <w:numId w:val="6"/>
        </w:numPr>
        <w:ind w:firstLineChars="0"/>
      </w:pPr>
      <w:r>
        <w:rPr>
          <w:rFonts w:hint="eastAsia"/>
        </w:rPr>
        <w:t>屏幕上出现黑点：</w:t>
      </w:r>
      <w:r>
        <w:br w:type="textWrapping"/>
      </w:r>
      <w:r>
        <w:rPr>
          <w:rFonts w:hint="eastAsia"/>
          <w:b/>
          <w:bCs/>
        </w:rPr>
        <w:t>少量微小黑点在图像上出现是允许的。这往往易在白天观测使用中出现。</w:t>
      </w:r>
    </w:p>
    <w:p>
      <w:pPr>
        <w:ind w:firstLine="480"/>
        <w:rPr>
          <w:rFonts w:ascii="宋体" w:hAnsi="宋体"/>
        </w:rPr>
      </w:pPr>
    </w:p>
    <w:p>
      <w:pPr>
        <w:widowControl/>
        <w:ind w:firstLine="480"/>
        <w:jc w:val="left"/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6" w:h="16838"/>
          <w:pgMar w:top="1440" w:right="1080" w:bottom="1440" w:left="1080" w:header="1077" w:footer="454" w:gutter="0"/>
          <w:pgNumType w:fmt="decimal" w:start="1"/>
          <w:cols w:space="720" w:num="1"/>
          <w:titlePg/>
          <w:docGrid w:type="lines" w:linePitch="312" w:charSpace="0"/>
        </w:sectPr>
      </w:pPr>
      <w:r>
        <w:rPr>
          <w:rFonts w:ascii="宋体" w:hAnsi="宋体"/>
        </w:rPr>
        <w:br w:type="page"/>
      </w:r>
    </w:p>
    <w:p>
      <w:pPr>
        <w:spacing w:line="400" w:lineRule="exact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Cs w:val="21"/>
        </w:rPr>
      </w:pPr>
      <w:bookmarkStart w:id="15" w:name="_GoBack"/>
      <w:bookmarkEnd w:id="15"/>
    </w:p>
    <w:sectPr>
      <w:footerReference r:id="rId8" w:type="first"/>
      <w:footerReference r:id="rId7" w:type="default"/>
      <w:pgSz w:w="11906" w:h="16838"/>
      <w:pgMar w:top="1440" w:right="1080" w:bottom="1440" w:left="1080" w:header="964" w:footer="454" w:gutter="0"/>
      <w:pgNumType w:fmt="decimal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XAyHIUAgAAFQQAAA4AAABkcnMvZTJvRG9jLnhtbK1Ty47TMBTdI/EP&#10;lvc0adG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RcDIc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+AZk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j4Bm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rPr>
        <w:rFonts w:hint="eastAsia" w:ascii="等线" w:hAnsi="等线" w:eastAsia="等线" w:cs="等线"/>
        <w:sz w:val="21"/>
        <w:szCs w:val="21"/>
        <w:lang w:val="en-US" w:eastAsia="zh-CN"/>
      </w:rPr>
    </w:pPr>
    <w:r>
      <w:rPr>
        <w:rFonts w:hint="eastAsia" w:ascii="宋体" w:hAnsi="宋体" w:cs="宋体"/>
        <w:b/>
        <w:snapToGrid/>
        <w:sz w:val="21"/>
        <w:szCs w:val="21"/>
        <w:lang w:val="en-US" w:eastAsia="zh-CN"/>
      </w:rPr>
      <w:t xml:space="preserve">                                                      </w:t>
    </w:r>
    <w:r>
      <w:rPr>
        <w:rFonts w:hint="eastAsia" w:ascii="等线" w:hAnsi="等线" w:eastAsia="等线" w:cs="等线"/>
        <w:b/>
        <w:snapToGrid/>
        <w:sz w:val="21"/>
        <w:szCs w:val="21"/>
        <w:lang w:val="en-US" w:eastAsia="zh-CN"/>
      </w:rPr>
      <w:t xml:space="preserve"> </w:t>
    </w:r>
    <w:r>
      <w:rPr>
        <w:rFonts w:hint="eastAsia" w:ascii="等线" w:hAnsi="等线" w:eastAsia="等线" w:cs="等线"/>
        <w:b/>
        <w:snapToGrid/>
        <w:sz w:val="21"/>
        <w:szCs w:val="21"/>
      </w:rPr>
      <w:t>YMK-5T2+</w:t>
    </w:r>
    <w:r>
      <w:rPr>
        <w:rFonts w:hint="eastAsia" w:ascii="等线" w:hAnsi="等线" w:eastAsia="等线" w:cs="等线"/>
        <w:b/>
        <w:snapToGrid/>
        <w:sz w:val="21"/>
        <w:szCs w:val="21"/>
        <w:lang w:val="en-US" w:eastAsia="zh-CN"/>
      </w:rPr>
      <w:t xml:space="preserve"> </w:t>
    </w:r>
    <w:r>
      <w:rPr>
        <w:rFonts w:hint="eastAsia" w:ascii="等线" w:hAnsi="等线" w:eastAsia="等线" w:cs="等线"/>
        <w:b/>
        <w:snapToGrid/>
        <w:sz w:val="21"/>
        <w:szCs w:val="21"/>
      </w:rPr>
      <w:t>NIGHTVISION</w:t>
    </w:r>
    <w:r>
      <w:rPr>
        <w:rFonts w:hint="eastAsia" w:ascii="等线" w:hAnsi="等线" w:eastAsia="等线" w:cs="等线"/>
        <w:b/>
        <w:snapToGrid/>
        <w:sz w:val="21"/>
        <w:szCs w:val="21"/>
        <w:lang w:val="en-US" w:eastAsia="zh-CN"/>
      </w:rPr>
      <w:t xml:space="preserve"> </w:t>
    </w:r>
    <w:r>
      <w:rPr>
        <w:rFonts w:hint="eastAsia" w:ascii="等线" w:hAnsi="等线" w:eastAsia="等线" w:cs="等线"/>
        <w:b/>
        <w:snapToGrid/>
        <w:sz w:val="21"/>
        <w:szCs w:val="21"/>
      </w:rPr>
      <w:t>GEN2+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jc w:val="right"/>
      <w:rPr>
        <w:rFonts w:hint="default"/>
        <w:lang w:val="en-US" w:eastAsia="zh-CN"/>
      </w:rPr>
    </w:pPr>
    <w:r>
      <w:rPr>
        <w:rFonts w:hint="eastAsia" w:ascii="等线" w:hAnsi="等线" w:eastAsia="等线" w:cs="等线"/>
        <w:b/>
        <w:snapToGrid/>
        <w:sz w:val="21"/>
        <w:szCs w:val="21"/>
        <w:lang w:val="en-US"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32338"/>
    <w:multiLevelType w:val="multilevel"/>
    <w:tmpl w:val="0BA32338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23621C4D"/>
    <w:multiLevelType w:val="multilevel"/>
    <w:tmpl w:val="23621C4D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83509FE"/>
    <w:multiLevelType w:val="multilevel"/>
    <w:tmpl w:val="383509FE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55C06164"/>
    <w:multiLevelType w:val="multilevel"/>
    <w:tmpl w:val="55C06164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67090733"/>
    <w:multiLevelType w:val="multilevel"/>
    <w:tmpl w:val="67090733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7A8633E9"/>
    <w:multiLevelType w:val="multilevel"/>
    <w:tmpl w:val="7A8633E9"/>
    <w:lvl w:ilvl="0" w:tentative="0">
      <w:start w:val="1"/>
      <w:numFmt w:val="chineseCountingThousand"/>
      <w:pStyle w:val="22"/>
      <w:lvlText w:val="第%1章"/>
      <w:lvlJc w:val="center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23"/>
      <w:isLgl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24"/>
      <w:isLgl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91B"/>
    <w:rsid w:val="00003D35"/>
    <w:rsid w:val="00027477"/>
    <w:rsid w:val="0006091B"/>
    <w:rsid w:val="000954B9"/>
    <w:rsid w:val="000A12FE"/>
    <w:rsid w:val="000A4102"/>
    <w:rsid w:val="000A6E57"/>
    <w:rsid w:val="000B061E"/>
    <w:rsid w:val="000C16EE"/>
    <w:rsid w:val="000C4B40"/>
    <w:rsid w:val="000D7EB0"/>
    <w:rsid w:val="000E23EB"/>
    <w:rsid w:val="000F5ECB"/>
    <w:rsid w:val="00101C40"/>
    <w:rsid w:val="00111EA3"/>
    <w:rsid w:val="00111FF5"/>
    <w:rsid w:val="001459C4"/>
    <w:rsid w:val="00152A9B"/>
    <w:rsid w:val="0015300D"/>
    <w:rsid w:val="001678EE"/>
    <w:rsid w:val="00170101"/>
    <w:rsid w:val="00181630"/>
    <w:rsid w:val="00184CC2"/>
    <w:rsid w:val="00184D21"/>
    <w:rsid w:val="0019306C"/>
    <w:rsid w:val="001D7AC9"/>
    <w:rsid w:val="001E1EF7"/>
    <w:rsid w:val="001E56D2"/>
    <w:rsid w:val="001E5CAA"/>
    <w:rsid w:val="001F552B"/>
    <w:rsid w:val="001F6ED9"/>
    <w:rsid w:val="002072BB"/>
    <w:rsid w:val="0024354C"/>
    <w:rsid w:val="00260C22"/>
    <w:rsid w:val="00265542"/>
    <w:rsid w:val="00295388"/>
    <w:rsid w:val="002A0392"/>
    <w:rsid w:val="002A73C2"/>
    <w:rsid w:val="002B466D"/>
    <w:rsid w:val="002D2405"/>
    <w:rsid w:val="002D70BB"/>
    <w:rsid w:val="002F6CEA"/>
    <w:rsid w:val="0031110B"/>
    <w:rsid w:val="00327616"/>
    <w:rsid w:val="00347B79"/>
    <w:rsid w:val="003616CD"/>
    <w:rsid w:val="003627CB"/>
    <w:rsid w:val="003634A0"/>
    <w:rsid w:val="00377FA3"/>
    <w:rsid w:val="003C50A9"/>
    <w:rsid w:val="003E2EA3"/>
    <w:rsid w:val="003E4B61"/>
    <w:rsid w:val="003F5A09"/>
    <w:rsid w:val="00411AF6"/>
    <w:rsid w:val="0041318C"/>
    <w:rsid w:val="00417F4E"/>
    <w:rsid w:val="00454C0F"/>
    <w:rsid w:val="00455EC8"/>
    <w:rsid w:val="00476AED"/>
    <w:rsid w:val="00477BB3"/>
    <w:rsid w:val="00495649"/>
    <w:rsid w:val="004A5DD2"/>
    <w:rsid w:val="004D34F6"/>
    <w:rsid w:val="004D7E2D"/>
    <w:rsid w:val="004D7EF0"/>
    <w:rsid w:val="004E1BA3"/>
    <w:rsid w:val="004E20B8"/>
    <w:rsid w:val="004F0A02"/>
    <w:rsid w:val="005055A8"/>
    <w:rsid w:val="0051687C"/>
    <w:rsid w:val="005415CE"/>
    <w:rsid w:val="005531AB"/>
    <w:rsid w:val="00575029"/>
    <w:rsid w:val="005803FD"/>
    <w:rsid w:val="00592408"/>
    <w:rsid w:val="005A6F5E"/>
    <w:rsid w:val="005B0D13"/>
    <w:rsid w:val="005B60BA"/>
    <w:rsid w:val="005E1783"/>
    <w:rsid w:val="005E1845"/>
    <w:rsid w:val="005F1E9F"/>
    <w:rsid w:val="006017C5"/>
    <w:rsid w:val="0061085C"/>
    <w:rsid w:val="00614DD8"/>
    <w:rsid w:val="00620128"/>
    <w:rsid w:val="00637FED"/>
    <w:rsid w:val="0064033F"/>
    <w:rsid w:val="00644F2A"/>
    <w:rsid w:val="0065432A"/>
    <w:rsid w:val="00676194"/>
    <w:rsid w:val="006A4E3E"/>
    <w:rsid w:val="006B29A2"/>
    <w:rsid w:val="006C28E8"/>
    <w:rsid w:val="006D020A"/>
    <w:rsid w:val="006E2D54"/>
    <w:rsid w:val="006F07E8"/>
    <w:rsid w:val="00704F4E"/>
    <w:rsid w:val="0070536B"/>
    <w:rsid w:val="007226C5"/>
    <w:rsid w:val="00734821"/>
    <w:rsid w:val="007441DB"/>
    <w:rsid w:val="00747D0F"/>
    <w:rsid w:val="00751E38"/>
    <w:rsid w:val="00752DA9"/>
    <w:rsid w:val="007566FF"/>
    <w:rsid w:val="00784A24"/>
    <w:rsid w:val="007A1FC9"/>
    <w:rsid w:val="007A675B"/>
    <w:rsid w:val="007B0CBC"/>
    <w:rsid w:val="007B63BD"/>
    <w:rsid w:val="007C0F87"/>
    <w:rsid w:val="007C4122"/>
    <w:rsid w:val="007D2943"/>
    <w:rsid w:val="007E096B"/>
    <w:rsid w:val="007F0D25"/>
    <w:rsid w:val="007F21AA"/>
    <w:rsid w:val="0083168D"/>
    <w:rsid w:val="00862B9E"/>
    <w:rsid w:val="0087692B"/>
    <w:rsid w:val="00883606"/>
    <w:rsid w:val="008975B2"/>
    <w:rsid w:val="008A3E8E"/>
    <w:rsid w:val="008B0FA3"/>
    <w:rsid w:val="008B1B43"/>
    <w:rsid w:val="008E471C"/>
    <w:rsid w:val="008F2742"/>
    <w:rsid w:val="009179C9"/>
    <w:rsid w:val="009231F9"/>
    <w:rsid w:val="0092534F"/>
    <w:rsid w:val="00934295"/>
    <w:rsid w:val="00936223"/>
    <w:rsid w:val="00942892"/>
    <w:rsid w:val="00962F8C"/>
    <w:rsid w:val="009800B7"/>
    <w:rsid w:val="00981146"/>
    <w:rsid w:val="00986E6B"/>
    <w:rsid w:val="009926D5"/>
    <w:rsid w:val="009A419F"/>
    <w:rsid w:val="009B1E84"/>
    <w:rsid w:val="009B2531"/>
    <w:rsid w:val="009D38F4"/>
    <w:rsid w:val="009D6BFE"/>
    <w:rsid w:val="009F3202"/>
    <w:rsid w:val="009F5C46"/>
    <w:rsid w:val="00A161A9"/>
    <w:rsid w:val="00A32F8E"/>
    <w:rsid w:val="00A34E5F"/>
    <w:rsid w:val="00A35F91"/>
    <w:rsid w:val="00A4546D"/>
    <w:rsid w:val="00A56DE7"/>
    <w:rsid w:val="00A5763C"/>
    <w:rsid w:val="00A80489"/>
    <w:rsid w:val="00AA167C"/>
    <w:rsid w:val="00AB1D61"/>
    <w:rsid w:val="00AB45E3"/>
    <w:rsid w:val="00AE0F28"/>
    <w:rsid w:val="00AF6398"/>
    <w:rsid w:val="00B15C50"/>
    <w:rsid w:val="00B25443"/>
    <w:rsid w:val="00B26A8B"/>
    <w:rsid w:val="00B27956"/>
    <w:rsid w:val="00B57A2C"/>
    <w:rsid w:val="00B844A6"/>
    <w:rsid w:val="00B959EB"/>
    <w:rsid w:val="00BA13A8"/>
    <w:rsid w:val="00BB26AD"/>
    <w:rsid w:val="00BB720C"/>
    <w:rsid w:val="00C05578"/>
    <w:rsid w:val="00C07CBC"/>
    <w:rsid w:val="00C12347"/>
    <w:rsid w:val="00C20193"/>
    <w:rsid w:val="00C25AA1"/>
    <w:rsid w:val="00C33702"/>
    <w:rsid w:val="00C4534A"/>
    <w:rsid w:val="00C86167"/>
    <w:rsid w:val="00C91BDB"/>
    <w:rsid w:val="00CA059D"/>
    <w:rsid w:val="00CA5576"/>
    <w:rsid w:val="00CB73C8"/>
    <w:rsid w:val="00CC300B"/>
    <w:rsid w:val="00CC4CF6"/>
    <w:rsid w:val="00CD1BDB"/>
    <w:rsid w:val="00CE1674"/>
    <w:rsid w:val="00CE537B"/>
    <w:rsid w:val="00D11CAF"/>
    <w:rsid w:val="00D207DA"/>
    <w:rsid w:val="00D34BEA"/>
    <w:rsid w:val="00D46021"/>
    <w:rsid w:val="00D465F8"/>
    <w:rsid w:val="00D51908"/>
    <w:rsid w:val="00D6135D"/>
    <w:rsid w:val="00D74F63"/>
    <w:rsid w:val="00D82AA4"/>
    <w:rsid w:val="00DC1125"/>
    <w:rsid w:val="00DC6D6E"/>
    <w:rsid w:val="00DC7AB6"/>
    <w:rsid w:val="00DD1642"/>
    <w:rsid w:val="00DE17D7"/>
    <w:rsid w:val="00E00242"/>
    <w:rsid w:val="00E01365"/>
    <w:rsid w:val="00E248D8"/>
    <w:rsid w:val="00E32E5A"/>
    <w:rsid w:val="00E417EF"/>
    <w:rsid w:val="00E5056E"/>
    <w:rsid w:val="00E57ED6"/>
    <w:rsid w:val="00E74C8E"/>
    <w:rsid w:val="00E77397"/>
    <w:rsid w:val="00E97E13"/>
    <w:rsid w:val="00EA1869"/>
    <w:rsid w:val="00EA4271"/>
    <w:rsid w:val="00EA7703"/>
    <w:rsid w:val="00EB16B1"/>
    <w:rsid w:val="00EC2A35"/>
    <w:rsid w:val="00EC64E5"/>
    <w:rsid w:val="00EF0172"/>
    <w:rsid w:val="00EF04D8"/>
    <w:rsid w:val="00F11F83"/>
    <w:rsid w:val="00F128A7"/>
    <w:rsid w:val="00F2026E"/>
    <w:rsid w:val="00F24C1B"/>
    <w:rsid w:val="00F3120B"/>
    <w:rsid w:val="00F31811"/>
    <w:rsid w:val="00F36C35"/>
    <w:rsid w:val="00F54B65"/>
    <w:rsid w:val="00F637B3"/>
    <w:rsid w:val="00F766F0"/>
    <w:rsid w:val="00F83C22"/>
    <w:rsid w:val="00F91E0A"/>
    <w:rsid w:val="00FA1077"/>
    <w:rsid w:val="00FA4002"/>
    <w:rsid w:val="00FB101D"/>
    <w:rsid w:val="00FB2B37"/>
    <w:rsid w:val="00FC414E"/>
    <w:rsid w:val="00FE68A5"/>
    <w:rsid w:val="00FF3ADB"/>
    <w:rsid w:val="00FF5AEB"/>
    <w:rsid w:val="01087478"/>
    <w:rsid w:val="01096F25"/>
    <w:rsid w:val="015F23E6"/>
    <w:rsid w:val="01EE2F11"/>
    <w:rsid w:val="01F20B5F"/>
    <w:rsid w:val="02452912"/>
    <w:rsid w:val="02655A77"/>
    <w:rsid w:val="02931461"/>
    <w:rsid w:val="02F36351"/>
    <w:rsid w:val="032034C6"/>
    <w:rsid w:val="03744687"/>
    <w:rsid w:val="039A3C91"/>
    <w:rsid w:val="039A6B40"/>
    <w:rsid w:val="047E6EAA"/>
    <w:rsid w:val="04A80ED4"/>
    <w:rsid w:val="04CF73F6"/>
    <w:rsid w:val="054119EB"/>
    <w:rsid w:val="05792883"/>
    <w:rsid w:val="05886221"/>
    <w:rsid w:val="06112537"/>
    <w:rsid w:val="06A5271A"/>
    <w:rsid w:val="07077637"/>
    <w:rsid w:val="07E31CEF"/>
    <w:rsid w:val="081718BB"/>
    <w:rsid w:val="08506036"/>
    <w:rsid w:val="0853518D"/>
    <w:rsid w:val="08B351DD"/>
    <w:rsid w:val="08C71D16"/>
    <w:rsid w:val="08E16923"/>
    <w:rsid w:val="08E74AE3"/>
    <w:rsid w:val="09532958"/>
    <w:rsid w:val="097C00FE"/>
    <w:rsid w:val="0A5239D6"/>
    <w:rsid w:val="0B527B58"/>
    <w:rsid w:val="0BBE2683"/>
    <w:rsid w:val="0C6F65FE"/>
    <w:rsid w:val="0C8C5789"/>
    <w:rsid w:val="0D7B2FA5"/>
    <w:rsid w:val="0DA26EE3"/>
    <w:rsid w:val="0DE4075D"/>
    <w:rsid w:val="0E236BF6"/>
    <w:rsid w:val="0E531E46"/>
    <w:rsid w:val="0E626E98"/>
    <w:rsid w:val="0EC37DE3"/>
    <w:rsid w:val="0EE53C8E"/>
    <w:rsid w:val="0F6A63DB"/>
    <w:rsid w:val="10B877BD"/>
    <w:rsid w:val="112B43AA"/>
    <w:rsid w:val="1139612F"/>
    <w:rsid w:val="11592CD4"/>
    <w:rsid w:val="1195509A"/>
    <w:rsid w:val="138832DE"/>
    <w:rsid w:val="13A06DDD"/>
    <w:rsid w:val="13E2738C"/>
    <w:rsid w:val="14154A73"/>
    <w:rsid w:val="149A4CF2"/>
    <w:rsid w:val="14BE007A"/>
    <w:rsid w:val="14D32E0C"/>
    <w:rsid w:val="1595575E"/>
    <w:rsid w:val="15FC615C"/>
    <w:rsid w:val="168975E5"/>
    <w:rsid w:val="17101DF9"/>
    <w:rsid w:val="17D556A6"/>
    <w:rsid w:val="19403FC1"/>
    <w:rsid w:val="19BF6F60"/>
    <w:rsid w:val="19F304C0"/>
    <w:rsid w:val="19F84FF5"/>
    <w:rsid w:val="1AA6316E"/>
    <w:rsid w:val="1AF213F9"/>
    <w:rsid w:val="1B0A4B58"/>
    <w:rsid w:val="1B8A1144"/>
    <w:rsid w:val="1B8E16CE"/>
    <w:rsid w:val="1BDF36F0"/>
    <w:rsid w:val="1C187081"/>
    <w:rsid w:val="1E1B135C"/>
    <w:rsid w:val="1E702BFD"/>
    <w:rsid w:val="1E88291F"/>
    <w:rsid w:val="1E943B4F"/>
    <w:rsid w:val="1EA00C05"/>
    <w:rsid w:val="1EB1539C"/>
    <w:rsid w:val="1EFA21BD"/>
    <w:rsid w:val="1F251964"/>
    <w:rsid w:val="1FA97C59"/>
    <w:rsid w:val="1FFD1FA9"/>
    <w:rsid w:val="21096C38"/>
    <w:rsid w:val="21C3160B"/>
    <w:rsid w:val="21E052CA"/>
    <w:rsid w:val="2206735E"/>
    <w:rsid w:val="22143A70"/>
    <w:rsid w:val="221A14C5"/>
    <w:rsid w:val="237F3667"/>
    <w:rsid w:val="23B86BC5"/>
    <w:rsid w:val="23D51F3E"/>
    <w:rsid w:val="23F246FA"/>
    <w:rsid w:val="243244AA"/>
    <w:rsid w:val="244240DB"/>
    <w:rsid w:val="247A4741"/>
    <w:rsid w:val="247C79A4"/>
    <w:rsid w:val="24F562BB"/>
    <w:rsid w:val="25B86E5D"/>
    <w:rsid w:val="25C779A9"/>
    <w:rsid w:val="25D15A56"/>
    <w:rsid w:val="25FA49D0"/>
    <w:rsid w:val="28904D64"/>
    <w:rsid w:val="292B1766"/>
    <w:rsid w:val="293A2798"/>
    <w:rsid w:val="29547502"/>
    <w:rsid w:val="298D4B15"/>
    <w:rsid w:val="29A148AB"/>
    <w:rsid w:val="29A672F9"/>
    <w:rsid w:val="2A096362"/>
    <w:rsid w:val="2A4D25ED"/>
    <w:rsid w:val="2A5D500B"/>
    <w:rsid w:val="2A9F2948"/>
    <w:rsid w:val="2AE022BE"/>
    <w:rsid w:val="2B3D6988"/>
    <w:rsid w:val="2B7E479D"/>
    <w:rsid w:val="2BDD2B6D"/>
    <w:rsid w:val="2DEB6B42"/>
    <w:rsid w:val="2E545E76"/>
    <w:rsid w:val="2E60183F"/>
    <w:rsid w:val="2E9E56C1"/>
    <w:rsid w:val="30695564"/>
    <w:rsid w:val="31137E6A"/>
    <w:rsid w:val="312C505A"/>
    <w:rsid w:val="321069F1"/>
    <w:rsid w:val="32532E6A"/>
    <w:rsid w:val="329A55DB"/>
    <w:rsid w:val="3313036D"/>
    <w:rsid w:val="33330C21"/>
    <w:rsid w:val="334B2BB4"/>
    <w:rsid w:val="34770E30"/>
    <w:rsid w:val="34C459F3"/>
    <w:rsid w:val="34E9443B"/>
    <w:rsid w:val="35093A1C"/>
    <w:rsid w:val="35D121A8"/>
    <w:rsid w:val="35DD0013"/>
    <w:rsid w:val="36D85126"/>
    <w:rsid w:val="37232F05"/>
    <w:rsid w:val="375077A6"/>
    <w:rsid w:val="37C06064"/>
    <w:rsid w:val="37FC0CE4"/>
    <w:rsid w:val="38885382"/>
    <w:rsid w:val="388E2717"/>
    <w:rsid w:val="3914591A"/>
    <w:rsid w:val="39BB1EA0"/>
    <w:rsid w:val="39DA1CC3"/>
    <w:rsid w:val="39E7499E"/>
    <w:rsid w:val="3A044CD5"/>
    <w:rsid w:val="3A2F19D4"/>
    <w:rsid w:val="3A877BCA"/>
    <w:rsid w:val="3AF35808"/>
    <w:rsid w:val="3B0E6032"/>
    <w:rsid w:val="3B8A5B22"/>
    <w:rsid w:val="3CB17993"/>
    <w:rsid w:val="3CFC4FBB"/>
    <w:rsid w:val="3D465CF3"/>
    <w:rsid w:val="3D5145B9"/>
    <w:rsid w:val="3D7D29F9"/>
    <w:rsid w:val="3D824308"/>
    <w:rsid w:val="3DC72F5C"/>
    <w:rsid w:val="3DDA012C"/>
    <w:rsid w:val="3E5029C5"/>
    <w:rsid w:val="40604553"/>
    <w:rsid w:val="406F3DAA"/>
    <w:rsid w:val="40C62D8E"/>
    <w:rsid w:val="40CD5ECA"/>
    <w:rsid w:val="412204E4"/>
    <w:rsid w:val="412C3BF9"/>
    <w:rsid w:val="416A1102"/>
    <w:rsid w:val="41E20DA8"/>
    <w:rsid w:val="423B5528"/>
    <w:rsid w:val="42493F1A"/>
    <w:rsid w:val="42F73F3D"/>
    <w:rsid w:val="43176698"/>
    <w:rsid w:val="43322A05"/>
    <w:rsid w:val="43945906"/>
    <w:rsid w:val="43A8567F"/>
    <w:rsid w:val="43AF20B6"/>
    <w:rsid w:val="43F00178"/>
    <w:rsid w:val="44C252E1"/>
    <w:rsid w:val="44C93E1B"/>
    <w:rsid w:val="45027B31"/>
    <w:rsid w:val="45164EF5"/>
    <w:rsid w:val="468B6D97"/>
    <w:rsid w:val="46F551C1"/>
    <w:rsid w:val="47830599"/>
    <w:rsid w:val="479949AF"/>
    <w:rsid w:val="479C5DAE"/>
    <w:rsid w:val="48711320"/>
    <w:rsid w:val="49DC18A0"/>
    <w:rsid w:val="4A1D1B86"/>
    <w:rsid w:val="4A331DAB"/>
    <w:rsid w:val="4A6123F8"/>
    <w:rsid w:val="4AAA2B48"/>
    <w:rsid w:val="4AC73E07"/>
    <w:rsid w:val="4B1978A0"/>
    <w:rsid w:val="4B93723E"/>
    <w:rsid w:val="4BC43B32"/>
    <w:rsid w:val="4C0755D1"/>
    <w:rsid w:val="4C1954CD"/>
    <w:rsid w:val="4C4B3EA6"/>
    <w:rsid w:val="4C6959E9"/>
    <w:rsid w:val="4C6A23E8"/>
    <w:rsid w:val="4CD2638B"/>
    <w:rsid w:val="4CF65149"/>
    <w:rsid w:val="4D006797"/>
    <w:rsid w:val="4D184B7A"/>
    <w:rsid w:val="4D6F1351"/>
    <w:rsid w:val="4DC466D7"/>
    <w:rsid w:val="4E394D14"/>
    <w:rsid w:val="4E870C80"/>
    <w:rsid w:val="4ED072A7"/>
    <w:rsid w:val="4ED47C09"/>
    <w:rsid w:val="4FCD4125"/>
    <w:rsid w:val="50BF7346"/>
    <w:rsid w:val="50D33A36"/>
    <w:rsid w:val="51BF348D"/>
    <w:rsid w:val="52362413"/>
    <w:rsid w:val="525F1E28"/>
    <w:rsid w:val="53EB3C0B"/>
    <w:rsid w:val="54953B81"/>
    <w:rsid w:val="54EA6450"/>
    <w:rsid w:val="56562128"/>
    <w:rsid w:val="57157DD4"/>
    <w:rsid w:val="572A6F45"/>
    <w:rsid w:val="58183DC3"/>
    <w:rsid w:val="586E5ABB"/>
    <w:rsid w:val="589F46D7"/>
    <w:rsid w:val="58CC24D0"/>
    <w:rsid w:val="594708EF"/>
    <w:rsid w:val="596619EF"/>
    <w:rsid w:val="59F9466B"/>
    <w:rsid w:val="5A3314E9"/>
    <w:rsid w:val="5A982021"/>
    <w:rsid w:val="5B016F8C"/>
    <w:rsid w:val="5B9502CA"/>
    <w:rsid w:val="5BB269AE"/>
    <w:rsid w:val="5C4102DA"/>
    <w:rsid w:val="5C996BAE"/>
    <w:rsid w:val="5CB94C4F"/>
    <w:rsid w:val="5CC7203C"/>
    <w:rsid w:val="5D3E41B1"/>
    <w:rsid w:val="5D7D3D81"/>
    <w:rsid w:val="5DA921AF"/>
    <w:rsid w:val="5DAD57AC"/>
    <w:rsid w:val="5E13641E"/>
    <w:rsid w:val="5EB706CB"/>
    <w:rsid w:val="5F03294C"/>
    <w:rsid w:val="5F502F05"/>
    <w:rsid w:val="5F642D39"/>
    <w:rsid w:val="5F7D28F2"/>
    <w:rsid w:val="5FBF00F5"/>
    <w:rsid w:val="61760805"/>
    <w:rsid w:val="61942B8C"/>
    <w:rsid w:val="62130265"/>
    <w:rsid w:val="62350D89"/>
    <w:rsid w:val="62396B4D"/>
    <w:rsid w:val="624666A0"/>
    <w:rsid w:val="633713EF"/>
    <w:rsid w:val="63950DC4"/>
    <w:rsid w:val="6434475F"/>
    <w:rsid w:val="645F6702"/>
    <w:rsid w:val="647F720D"/>
    <w:rsid w:val="64B442D5"/>
    <w:rsid w:val="64BD18E5"/>
    <w:rsid w:val="66ED2DBA"/>
    <w:rsid w:val="67034C17"/>
    <w:rsid w:val="67FC32D8"/>
    <w:rsid w:val="68357822"/>
    <w:rsid w:val="686D68D7"/>
    <w:rsid w:val="68773DCF"/>
    <w:rsid w:val="68C1232D"/>
    <w:rsid w:val="695E7E63"/>
    <w:rsid w:val="69746EE3"/>
    <w:rsid w:val="698256E6"/>
    <w:rsid w:val="6984263A"/>
    <w:rsid w:val="69A11E75"/>
    <w:rsid w:val="69DC6CF5"/>
    <w:rsid w:val="6A2E154F"/>
    <w:rsid w:val="6A6B6BB0"/>
    <w:rsid w:val="6AF9631D"/>
    <w:rsid w:val="6B065432"/>
    <w:rsid w:val="6B8E3CB9"/>
    <w:rsid w:val="6B9A7E60"/>
    <w:rsid w:val="6B9B7E53"/>
    <w:rsid w:val="6BBF75C0"/>
    <w:rsid w:val="6BC66FD5"/>
    <w:rsid w:val="6C7C380B"/>
    <w:rsid w:val="6CDC26FD"/>
    <w:rsid w:val="6D4909A9"/>
    <w:rsid w:val="6DD000E7"/>
    <w:rsid w:val="6DE04340"/>
    <w:rsid w:val="6E6229A2"/>
    <w:rsid w:val="6E892D74"/>
    <w:rsid w:val="6EE0361B"/>
    <w:rsid w:val="6F2602CD"/>
    <w:rsid w:val="6F6D2BDE"/>
    <w:rsid w:val="70276E26"/>
    <w:rsid w:val="703D50E9"/>
    <w:rsid w:val="707F5F54"/>
    <w:rsid w:val="712F4448"/>
    <w:rsid w:val="716523CD"/>
    <w:rsid w:val="71A56519"/>
    <w:rsid w:val="72295A32"/>
    <w:rsid w:val="723F63B8"/>
    <w:rsid w:val="72574502"/>
    <w:rsid w:val="7262631A"/>
    <w:rsid w:val="734A5E8E"/>
    <w:rsid w:val="73502F03"/>
    <w:rsid w:val="73B37AA9"/>
    <w:rsid w:val="73C90B25"/>
    <w:rsid w:val="74602B4D"/>
    <w:rsid w:val="74773087"/>
    <w:rsid w:val="75421380"/>
    <w:rsid w:val="757B75F4"/>
    <w:rsid w:val="76B94877"/>
    <w:rsid w:val="770341EC"/>
    <w:rsid w:val="77CD7264"/>
    <w:rsid w:val="77DC76C1"/>
    <w:rsid w:val="78177F34"/>
    <w:rsid w:val="786273E8"/>
    <w:rsid w:val="789C1C30"/>
    <w:rsid w:val="78A423D6"/>
    <w:rsid w:val="78D9245F"/>
    <w:rsid w:val="78FC2372"/>
    <w:rsid w:val="79170BAE"/>
    <w:rsid w:val="7A0B1497"/>
    <w:rsid w:val="7A1C5709"/>
    <w:rsid w:val="7A232A10"/>
    <w:rsid w:val="7AEC6CBF"/>
    <w:rsid w:val="7B487840"/>
    <w:rsid w:val="7B613D2B"/>
    <w:rsid w:val="7B690F33"/>
    <w:rsid w:val="7BC0634B"/>
    <w:rsid w:val="7D770FFF"/>
    <w:rsid w:val="7DF174C5"/>
    <w:rsid w:val="7E2B1282"/>
    <w:rsid w:val="7F5C5406"/>
    <w:rsid w:val="7F6F2CAB"/>
    <w:rsid w:val="7F86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snapToGrid w:val="0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keepNext/>
      <w:keepLines/>
      <w:numPr>
        <w:ilvl w:val="0"/>
        <w:numId w:val="1"/>
      </w:numPr>
      <w:spacing w:line="480" w:lineRule="auto"/>
      <w:ind w:left="431" w:firstLine="0" w:firstLineChars="0"/>
      <w:jc w:val="center"/>
      <w:outlineLvl w:val="0"/>
    </w:pPr>
    <w:rPr>
      <w:rFonts w:eastAsia="微软雅黑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27"/>
    <w:unhideWhenUsed/>
    <w:qFormat/>
    <w:uiPriority w:val="0"/>
    <w:pPr>
      <w:keepNext/>
      <w:keepLines/>
      <w:numPr>
        <w:ilvl w:val="1"/>
        <w:numId w:val="1"/>
      </w:numPr>
      <w:spacing w:line="416" w:lineRule="auto"/>
      <w:ind w:left="573" w:hanging="573" w:firstLineChars="0"/>
      <w:outlineLvl w:val="1"/>
    </w:pPr>
    <w:rPr>
      <w:rFonts w:eastAsia="微软雅黑" w:asciiTheme="majorAscii" w:hAnsiTheme="majorAscii" w:cstheme="majorBidi"/>
      <w:b/>
      <w:bCs/>
      <w:sz w:val="28"/>
      <w:szCs w:val="32"/>
    </w:rPr>
  </w:style>
  <w:style w:type="paragraph" w:styleId="4">
    <w:name w:val="heading 3"/>
    <w:basedOn w:val="1"/>
    <w:next w:val="1"/>
    <w:link w:val="28"/>
    <w:semiHidden/>
    <w:unhideWhenUsed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ind w:left="720" w:hanging="720" w:firstLineChars="0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 w:firstLineChars="0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 Indent"/>
    <w:basedOn w:val="1"/>
    <w:qFormat/>
    <w:uiPriority w:val="0"/>
    <w:pPr>
      <w:spacing w:after="120"/>
      <w:ind w:left="420" w:leftChars="200"/>
    </w:pPr>
  </w:style>
  <w:style w:type="paragraph" w:styleId="12">
    <w:name w:val="Body Text Indent 2"/>
    <w:basedOn w:val="1"/>
    <w:qFormat/>
    <w:uiPriority w:val="0"/>
    <w:pPr>
      <w:spacing w:line="480" w:lineRule="exact"/>
      <w:ind w:firstLine="480"/>
    </w:p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39"/>
  </w:style>
  <w:style w:type="paragraph" w:styleId="16">
    <w:name w:val="toc 2"/>
    <w:basedOn w:val="1"/>
    <w:next w:val="1"/>
    <w:qFormat/>
    <w:uiPriority w:val="39"/>
    <w:pPr>
      <w:ind w:left="420" w:leftChars="2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20">
    <w:name w:val="page number"/>
    <w:basedOn w:val="19"/>
    <w:qFormat/>
    <w:uiPriority w:val="0"/>
  </w:style>
  <w:style w:type="character" w:styleId="21">
    <w:name w:val="Hyperlink"/>
    <w:qFormat/>
    <w:uiPriority w:val="99"/>
    <w:rPr>
      <w:color w:val="0000FF"/>
      <w:u w:val="single"/>
    </w:rPr>
  </w:style>
  <w:style w:type="paragraph" w:customStyle="1" w:styleId="22">
    <w:name w:val="一级"/>
    <w:basedOn w:val="2"/>
    <w:next w:val="1"/>
    <w:qFormat/>
    <w:uiPriority w:val="0"/>
    <w:pPr>
      <w:widowControl/>
      <w:numPr>
        <w:ilvl w:val="0"/>
        <w:numId w:val="2"/>
      </w:numPr>
      <w:autoSpaceDE w:val="0"/>
      <w:autoSpaceDN w:val="0"/>
      <w:spacing w:before="100" w:beforeAutospacing="1" w:after="100" w:afterAutospacing="1" w:line="480" w:lineRule="auto"/>
      <w:jc w:val="center"/>
    </w:pPr>
    <w:rPr>
      <w:rFonts w:ascii="Calibri" w:hAnsi="Calibri" w:eastAsia="黑体" w:cs="黑体"/>
      <w:b w:val="0"/>
      <w:bCs w:val="0"/>
      <w:color w:val="000000"/>
      <w:kern w:val="0"/>
    </w:rPr>
  </w:style>
  <w:style w:type="paragraph" w:customStyle="1" w:styleId="23">
    <w:name w:val="二级"/>
    <w:basedOn w:val="3"/>
    <w:next w:val="1"/>
    <w:qFormat/>
    <w:uiPriority w:val="0"/>
    <w:pPr>
      <w:widowControl/>
      <w:numPr>
        <w:ilvl w:val="1"/>
        <w:numId w:val="2"/>
      </w:numPr>
      <w:spacing w:before="100" w:beforeAutospacing="1" w:after="100" w:afterAutospacing="1" w:line="360" w:lineRule="auto"/>
      <w:jc w:val="left"/>
    </w:pPr>
    <w:rPr>
      <w:rFonts w:ascii="Calibri" w:hAnsi="Calibri" w:eastAsia="黑体" w:cs="黑体"/>
      <w:b w:val="0"/>
      <w:smallCaps/>
      <w:color w:val="000000"/>
      <w:kern w:val="0"/>
      <w:sz w:val="36"/>
      <w:szCs w:val="44"/>
    </w:rPr>
  </w:style>
  <w:style w:type="paragraph" w:customStyle="1" w:styleId="24">
    <w:name w:val="三级"/>
    <w:basedOn w:val="4"/>
    <w:next w:val="1"/>
    <w:qFormat/>
    <w:uiPriority w:val="0"/>
    <w:pPr>
      <w:numPr>
        <w:ilvl w:val="2"/>
        <w:numId w:val="2"/>
      </w:numPr>
      <w:spacing w:before="100" w:beforeAutospacing="1" w:after="100" w:afterAutospacing="1" w:line="360" w:lineRule="exact"/>
      <w:jc w:val="left"/>
    </w:pPr>
    <w:rPr>
      <w:rFonts w:ascii="Calibri" w:hAnsi="Calibri" w:eastAsia="黑体" w:cstheme="minorBidi"/>
      <w:b w:val="0"/>
      <w:caps/>
      <w:smallCaps/>
    </w:rPr>
  </w:style>
  <w:style w:type="paragraph" w:customStyle="1" w:styleId="25">
    <w:name w:val="新正文"/>
    <w:next w:val="1"/>
    <w:qFormat/>
    <w:uiPriority w:val="0"/>
    <w:pPr>
      <w:spacing w:before="160" w:line="360" w:lineRule="exact"/>
      <w:ind w:left="200" w:leftChars="200"/>
    </w:pPr>
    <w:rPr>
      <w:rFonts w:ascii="Calibri" w:hAnsi="Calibri" w:eastAsia="华文细黑" w:cs="宋体"/>
      <w:color w:val="000000"/>
      <w:sz w:val="24"/>
      <w:szCs w:val="21"/>
      <w:lang w:val="en-US" w:eastAsia="zh-CN" w:bidi="ar-SA"/>
    </w:rPr>
  </w:style>
  <w:style w:type="character" w:customStyle="1" w:styleId="26">
    <w:name w:val="标题 1 字符"/>
    <w:basedOn w:val="19"/>
    <w:link w:val="2"/>
    <w:qFormat/>
    <w:uiPriority w:val="0"/>
    <w:rPr>
      <w:rFonts w:eastAsia="微软雅黑"/>
      <w:b/>
      <w:bCs/>
      <w:kern w:val="44"/>
      <w:sz w:val="32"/>
      <w:szCs w:val="44"/>
    </w:rPr>
  </w:style>
  <w:style w:type="character" w:customStyle="1" w:styleId="27">
    <w:name w:val="标题 2 字符"/>
    <w:basedOn w:val="19"/>
    <w:link w:val="3"/>
    <w:semiHidden/>
    <w:qFormat/>
    <w:uiPriority w:val="0"/>
    <w:rPr>
      <w:rFonts w:eastAsia="微软雅黑" w:asciiTheme="majorAscii" w:hAnsiTheme="majorAscii" w:cstheme="majorBidi"/>
      <w:b/>
      <w:bCs/>
      <w:kern w:val="2"/>
      <w:sz w:val="28"/>
      <w:szCs w:val="32"/>
    </w:rPr>
  </w:style>
  <w:style w:type="character" w:customStyle="1" w:styleId="28">
    <w:name w:val="标题 3 字符"/>
    <w:basedOn w:val="19"/>
    <w:link w:val="4"/>
    <w:semiHidden/>
    <w:qFormat/>
    <w:uiPriority w:val="0"/>
    <w:rPr>
      <w:b/>
      <w:bCs/>
      <w:kern w:val="2"/>
      <w:sz w:val="32"/>
      <w:szCs w:val="32"/>
    </w:rPr>
  </w:style>
  <w:style w:type="paragraph" w:styleId="29">
    <w:name w:val="List Paragraph"/>
    <w:basedOn w:val="1"/>
    <w:qFormat/>
    <w:uiPriority w:val="99"/>
    <w:pPr>
      <w:ind w:firstLine="420"/>
    </w:pPr>
  </w:style>
  <w:style w:type="paragraph" w:customStyle="1" w:styleId="30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0" Type="http://schemas.openxmlformats.org/officeDocument/2006/relationships/fontTable" Target="fontTable.xml"/><Relationship Id="rId3" Type="http://schemas.openxmlformats.org/officeDocument/2006/relationships/header" Target="header1.xml"/><Relationship Id="rId29" Type="http://schemas.openxmlformats.org/officeDocument/2006/relationships/customXml" Target="../customXml/item2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17.jpeg"/><Relationship Id="rId25" Type="http://schemas.openxmlformats.org/officeDocument/2006/relationships/image" Target="media/image16.jpeg"/><Relationship Id="rId24" Type="http://schemas.openxmlformats.org/officeDocument/2006/relationships/image" Target="media/image15.jpeg"/><Relationship Id="rId23" Type="http://schemas.openxmlformats.org/officeDocument/2006/relationships/image" Target="media/image14.png"/><Relationship Id="rId22" Type="http://schemas.openxmlformats.org/officeDocument/2006/relationships/image" Target="media/image13.jpe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jpeg"/><Relationship Id="rId17" Type="http://schemas.openxmlformats.org/officeDocument/2006/relationships/image" Target="media/image8.jpeg"/><Relationship Id="rId16" Type="http://schemas.openxmlformats.org/officeDocument/2006/relationships/image" Target="media/image7.jpe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emf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F2E1C7-5EA0-475A-8337-EF77776073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16</Pages>
  <Words>4079</Words>
  <Characters>4582</Characters>
  <Lines>46</Lines>
  <Paragraphs>13</Paragraphs>
  <TotalTime>17</TotalTime>
  <ScaleCrop>false</ScaleCrop>
  <LinksUpToDate>false</LinksUpToDate>
  <CharactersWithSpaces>4856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2020-03-04T06:20:00Z</dcterms:created>
  <dc:creator>微软用户</dc:creator>
  <cp:lastModifiedBy>华瑞通</cp:lastModifiedBy>
  <cp:lastPrinted>2020-01-11T07:38:00Z</cp:lastPrinted>
  <dcterms:modified xsi:type="dcterms:W3CDTF">2020-04-03T03:13:56Z</dcterms:modified>
  <dc:title>商标、版权声明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